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rFonts w:ascii="Arial Narrow" w:hAnsi="Arial Narrow" w:cs="Arial"/>
          <w:b/>
          <w:b/>
          <w:bCs/>
          <w:sz w:val="32"/>
          <w:szCs w:val="32"/>
        </w:rPr>
      </w:pPr>
      <w:r>
        <w:rPr>
          <w:rFonts w:cs="Arial" w:ascii="Arial Narrow" w:hAnsi="Arial Narrow"/>
          <w:b/>
          <w:bCs/>
          <w:sz w:val="32"/>
          <w:szCs w:val="32"/>
        </w:rPr>
        <w:t>Směnná smlouva</w:t>
      </w:r>
    </w:p>
    <w:p>
      <w:pPr>
        <w:pStyle w:val="Normal"/>
        <w:widowControl w:val="false"/>
        <w:spacing w:lineRule="auto" w:line="240" w:before="0" w:after="0"/>
        <w:jc w:val="center"/>
        <w:rPr>
          <w:rFonts w:ascii="Arial Narrow" w:hAnsi="Arial Narrow" w:cs="Arial"/>
          <w:b/>
          <w:b/>
          <w:bCs/>
          <w:sz w:val="32"/>
          <w:szCs w:val="32"/>
        </w:rPr>
      </w:pPr>
      <w:r>
        <w:rPr>
          <w:rFonts w:cs="Arial" w:ascii="Arial Narrow" w:hAnsi="Arial Narrow"/>
          <w:b/>
          <w:bCs/>
          <w:sz w:val="32"/>
          <w:szCs w:val="32"/>
        </w:rPr>
      </w:r>
    </w:p>
    <w:p>
      <w:pPr>
        <w:pStyle w:val="Normal"/>
        <w:widowControl w:val="false"/>
        <w:spacing w:lineRule="auto" w:line="240" w:before="0" w:after="0"/>
        <w:jc w:val="center"/>
        <w:rPr>
          <w:rFonts w:ascii="Arial Narrow" w:hAnsi="Arial Narrow" w:cs="Arial"/>
          <w:b/>
          <w:b/>
          <w:bCs/>
          <w:sz w:val="24"/>
          <w:szCs w:val="24"/>
        </w:rPr>
      </w:pPr>
      <w:r>
        <w:rPr>
          <w:rFonts w:cs="Arial" w:ascii="Arial Narrow" w:hAnsi="Arial Narrow"/>
          <w:b/>
          <w:bCs/>
          <w:sz w:val="24"/>
          <w:szCs w:val="24"/>
        </w:rPr>
        <w:t xml:space="preserve">uzavřená dle ustanovení § 2184 an. zákona č. 89/2012 Sb., občanského zákoníku, </w:t>
        <w:br/>
        <w:t xml:space="preserve">v platném znění </w:t>
      </w:r>
    </w:p>
    <w:p>
      <w:pPr>
        <w:pStyle w:val="Normal"/>
        <w:widowControl w:val="false"/>
        <w:spacing w:lineRule="auto" w:line="240" w:before="0" w:after="0"/>
        <w:rPr>
          <w:rFonts w:ascii="Arial Narrow" w:hAnsi="Arial Narrow" w:cs="Arial"/>
          <w:b/>
          <w:b/>
          <w:bCs/>
          <w:sz w:val="24"/>
          <w:szCs w:val="24"/>
        </w:rPr>
      </w:pPr>
      <w:r>
        <w:rPr>
          <w:rFonts w:cs="Arial" w:ascii="Arial Narrow" w:hAnsi="Arial Narrow"/>
          <w:b/>
          <w:bCs/>
          <w:sz w:val="24"/>
          <w:szCs w:val="24"/>
        </w:rPr>
      </w:r>
    </w:p>
    <w:p>
      <w:pPr>
        <w:pStyle w:val="NoSpacing"/>
        <w:rPr>
          <w:rFonts w:ascii="Arial Narrow" w:hAnsi="Arial Narrow"/>
          <w:b/>
          <w:b/>
          <w:sz w:val="24"/>
          <w:szCs w:val="24"/>
        </w:rPr>
      </w:pPr>
      <w:r>
        <w:rPr>
          <w:rFonts w:ascii="Arial Narrow" w:hAnsi="Arial Narrow"/>
          <w:b/>
          <w:sz w:val="24"/>
          <w:szCs w:val="24"/>
        </w:rPr>
      </w:r>
    </w:p>
    <w:p>
      <w:pPr>
        <w:pStyle w:val="NoSpacing"/>
        <w:rPr>
          <w:rFonts w:ascii="Arial Narrow" w:hAnsi="Arial Narrow" w:eastAsia="Times New Roman"/>
          <w:sz w:val="24"/>
          <w:szCs w:val="24"/>
        </w:rPr>
      </w:pPr>
      <w:r>
        <w:rPr>
          <w:rFonts w:ascii="Arial Narrow" w:hAnsi="Arial Narrow"/>
          <w:b/>
          <w:sz w:val="24"/>
          <w:szCs w:val="24"/>
        </w:rPr>
        <w:t>Městská část Praha-Klánovice</w:t>
      </w:r>
      <w:r>
        <w:rPr>
          <w:rFonts w:ascii="Arial Narrow" w:hAnsi="Arial Narrow"/>
          <w:sz w:val="24"/>
          <w:szCs w:val="24"/>
        </w:rPr>
        <w:t>, IČO: 002 40 281</w:t>
      </w:r>
      <w:r>
        <w:rPr>
          <w:rFonts w:eastAsia="Times New Roman" w:ascii="Arial Narrow" w:hAnsi="Arial Narrow"/>
          <w:sz w:val="24"/>
          <w:szCs w:val="24"/>
        </w:rPr>
        <w:br/>
      </w:r>
      <w:r>
        <w:rPr>
          <w:rFonts w:ascii="Arial Narrow" w:hAnsi="Arial Narrow"/>
          <w:sz w:val="24"/>
          <w:szCs w:val="24"/>
        </w:rPr>
        <w:t>se sídlem U Besedy 300/8, 190 14  Praha-Klánovice</w:t>
      </w:r>
    </w:p>
    <w:p>
      <w:pPr>
        <w:pStyle w:val="NoSpacing"/>
        <w:rPr>
          <w:rFonts w:ascii="Arial Narrow" w:hAnsi="Arial Narrow" w:eastAsia="Times New Roman"/>
          <w:sz w:val="24"/>
          <w:szCs w:val="24"/>
        </w:rPr>
      </w:pPr>
      <w:r>
        <w:rPr>
          <w:rFonts w:ascii="Arial Narrow" w:hAnsi="Arial Narrow"/>
          <w:sz w:val="24"/>
          <w:szCs w:val="24"/>
        </w:rPr>
        <w:t>zastoupenou Mgr. Zorkou Starčevičovou, starostkou</w:t>
      </w:r>
    </w:p>
    <w:p>
      <w:pPr>
        <w:pStyle w:val="Normal"/>
        <w:widowControl w:val="false"/>
        <w:spacing w:lineRule="auto" w:line="240" w:before="0" w:after="0"/>
        <w:rPr>
          <w:rFonts w:ascii="Arial Narrow" w:hAnsi="Arial Narrow" w:cs="Arial"/>
          <w:sz w:val="24"/>
          <w:szCs w:val="24"/>
        </w:rPr>
      </w:pPr>
      <w:r>
        <w:rPr>
          <w:rFonts w:cs="Arial" w:ascii="Arial Narrow" w:hAnsi="Arial Narrow"/>
          <w:sz w:val="24"/>
          <w:szCs w:val="24"/>
        </w:rPr>
        <w:t>(jako první směňující)</w:t>
      </w:r>
    </w:p>
    <w:p>
      <w:pPr>
        <w:pStyle w:val="Normal"/>
        <w:widowControl w:val="false"/>
        <w:spacing w:lineRule="auto" w:line="240" w:before="0" w:after="0"/>
        <w:rPr>
          <w:rFonts w:ascii="Arial Narrow" w:hAnsi="Arial Narrow" w:cs="Arial"/>
          <w:sz w:val="24"/>
          <w:szCs w:val="24"/>
        </w:rPr>
      </w:pPr>
      <w:r>
        <w:rPr>
          <w:rFonts w:cs="Arial" w:ascii="Arial Narrow" w:hAnsi="Arial Narrow"/>
          <w:sz w:val="24"/>
          <w:szCs w:val="24"/>
        </w:rPr>
      </w:r>
    </w:p>
    <w:p>
      <w:pPr>
        <w:pStyle w:val="Normal"/>
        <w:widowControl w:val="false"/>
        <w:spacing w:lineRule="auto" w:line="240" w:before="0" w:after="0"/>
        <w:rPr>
          <w:rFonts w:ascii="Arial Narrow" w:hAnsi="Arial Narrow" w:cs="Arial"/>
          <w:sz w:val="24"/>
          <w:szCs w:val="24"/>
        </w:rPr>
      </w:pPr>
      <w:r>
        <w:rPr>
          <w:rFonts w:cs="Arial" w:ascii="Arial Narrow" w:hAnsi="Arial Narrow"/>
          <w:sz w:val="24"/>
          <w:szCs w:val="24"/>
        </w:rPr>
        <w:t>a</w:t>
      </w:r>
    </w:p>
    <w:p>
      <w:pPr>
        <w:pStyle w:val="Normal"/>
        <w:widowControl w:val="false"/>
        <w:spacing w:lineRule="auto" w:line="240" w:before="0" w:after="0"/>
        <w:rPr>
          <w:rFonts w:ascii="Arial Narrow" w:hAnsi="Arial Narrow" w:cs="Arial"/>
          <w:sz w:val="24"/>
          <w:szCs w:val="24"/>
        </w:rPr>
      </w:pPr>
      <w:r>
        <w:rPr>
          <w:rFonts w:cs="Arial" w:ascii="Arial Narrow" w:hAnsi="Arial Narrow"/>
          <w:sz w:val="24"/>
          <w:szCs w:val="24"/>
        </w:rPr>
      </w:r>
    </w:p>
    <w:p>
      <w:pPr>
        <w:pStyle w:val="Normal"/>
        <w:widowControl w:val="false"/>
        <w:spacing w:lineRule="auto" w:line="240" w:before="0" w:after="0"/>
        <w:rPr>
          <w:rFonts w:ascii="Arial Narrow" w:hAnsi="Arial Narrow" w:cs="Arial"/>
          <w:sz w:val="24"/>
          <w:szCs w:val="24"/>
        </w:rPr>
      </w:pPr>
      <w:r>
        <w:rPr>
          <w:rFonts w:cs="Arial" w:ascii="Arial Narrow" w:hAnsi="Arial Narrow"/>
          <w:b/>
          <w:sz w:val="24"/>
          <w:szCs w:val="24"/>
        </w:rPr>
        <w:t>Alois Hejtich</w:t>
      </w:r>
      <w:r>
        <w:rPr>
          <w:rFonts w:cs="Arial" w:ascii="Arial Narrow" w:hAnsi="Arial Narrow"/>
          <w:sz w:val="24"/>
          <w:szCs w:val="24"/>
        </w:rPr>
        <w:t>, nar. 26. 10. 1954</w:t>
      </w:r>
    </w:p>
    <w:p>
      <w:pPr>
        <w:pStyle w:val="Normal"/>
        <w:widowControl w:val="false"/>
        <w:spacing w:lineRule="auto" w:line="240" w:before="0" w:after="0"/>
        <w:rPr>
          <w:rFonts w:ascii="Arial Narrow" w:hAnsi="Arial Narrow" w:cs="Arial"/>
          <w:sz w:val="24"/>
          <w:szCs w:val="24"/>
        </w:rPr>
      </w:pPr>
      <w:r>
        <w:rPr>
          <w:rFonts w:cs="Arial" w:ascii="Arial Narrow" w:hAnsi="Arial Narrow"/>
          <w:sz w:val="24"/>
          <w:szCs w:val="24"/>
        </w:rPr>
        <w:t>se sídlem Slavětínská 2,190 14  Praha-Klánovice</w:t>
      </w:r>
    </w:p>
    <w:p>
      <w:pPr>
        <w:pStyle w:val="NoSpacing"/>
        <w:rPr>
          <w:rFonts w:ascii="Arial Narrow" w:hAnsi="Arial Narrow"/>
          <w:sz w:val="24"/>
          <w:szCs w:val="24"/>
          <w:u w:val="none" w:color="FF0000"/>
        </w:rPr>
      </w:pPr>
      <w:r>
        <w:rPr>
          <w:rFonts w:ascii="Arial Narrow" w:hAnsi="Arial Narrow"/>
          <w:sz w:val="24"/>
          <w:szCs w:val="24"/>
          <w:u w:val="none" w:color="FF0000"/>
        </w:rPr>
        <w:t>(jako druhý směňující)</w:t>
      </w:r>
    </w:p>
    <w:p>
      <w:pPr>
        <w:pStyle w:val="NoSpacing"/>
        <w:rPr>
          <w:rFonts w:ascii="Arial Narrow" w:hAnsi="Arial Narrow"/>
          <w:sz w:val="24"/>
          <w:szCs w:val="24"/>
        </w:rPr>
      </w:pPr>
      <w:r>
        <w:rPr>
          <w:rFonts w:ascii="Arial Narrow" w:hAnsi="Arial Narrow"/>
          <w:sz w:val="24"/>
          <w:szCs w:val="24"/>
        </w:rPr>
      </w:r>
    </w:p>
    <w:p>
      <w:pPr>
        <w:pStyle w:val="Normal"/>
        <w:widowControl w:val="false"/>
        <w:spacing w:lineRule="auto" w:line="240" w:before="0" w:after="0"/>
        <w:rPr>
          <w:rFonts w:ascii="Arial Narrow" w:hAnsi="Arial Narrow" w:cs="Arial"/>
          <w:sz w:val="24"/>
          <w:szCs w:val="24"/>
        </w:rPr>
      </w:pPr>
      <w:r>
        <w:rPr>
          <w:rFonts w:cs="Arial" w:ascii="Arial Narrow" w:hAnsi="Arial Narrow"/>
          <w:sz w:val="24"/>
          <w:szCs w:val="24"/>
        </w:rPr>
      </w:r>
    </w:p>
    <w:p>
      <w:pPr>
        <w:pStyle w:val="Normal"/>
        <w:widowControl w:val="false"/>
        <w:spacing w:lineRule="auto" w:line="240" w:before="0" w:after="0"/>
        <w:jc w:val="center"/>
        <w:rPr>
          <w:rFonts w:ascii="Arial Narrow" w:hAnsi="Arial Narrow" w:cs="Arial"/>
          <w:b/>
          <w:b/>
          <w:sz w:val="24"/>
          <w:szCs w:val="24"/>
        </w:rPr>
      </w:pPr>
      <w:r>
        <w:rPr>
          <w:rFonts w:cs="Arial" w:ascii="Arial Narrow" w:hAnsi="Arial Narrow"/>
          <w:b/>
          <w:sz w:val="24"/>
          <w:szCs w:val="24"/>
        </w:rPr>
        <w:t>uzavírají níže uvedeného dne, měsíce a roku tuto</w:t>
      </w:r>
    </w:p>
    <w:p>
      <w:pPr>
        <w:pStyle w:val="Normal"/>
        <w:widowControl w:val="false"/>
        <w:spacing w:lineRule="auto" w:line="240" w:before="0" w:after="0"/>
        <w:jc w:val="center"/>
        <w:rPr>
          <w:rFonts w:ascii="Arial Narrow" w:hAnsi="Arial Narrow" w:cs="Arial"/>
          <w:b/>
          <w:b/>
          <w:sz w:val="24"/>
          <w:szCs w:val="24"/>
        </w:rPr>
      </w:pPr>
      <w:r>
        <w:rPr>
          <w:rFonts w:cs="Arial" w:ascii="Arial Narrow" w:hAnsi="Arial Narrow"/>
          <w:b/>
          <w:sz w:val="24"/>
          <w:szCs w:val="24"/>
        </w:rPr>
      </w:r>
    </w:p>
    <w:p>
      <w:pPr>
        <w:pStyle w:val="Normal"/>
        <w:widowControl w:val="false"/>
        <w:spacing w:lineRule="auto" w:line="240" w:before="0" w:after="0"/>
        <w:jc w:val="center"/>
        <w:rPr>
          <w:rFonts w:ascii="Arial Narrow" w:hAnsi="Arial Narrow" w:cs="Arial"/>
          <w:b/>
          <w:b/>
          <w:sz w:val="24"/>
          <w:szCs w:val="24"/>
        </w:rPr>
      </w:pPr>
      <w:r>
        <w:rPr>
          <w:rFonts w:cs="Arial" w:ascii="Arial Narrow" w:hAnsi="Arial Narrow"/>
          <w:b/>
          <w:sz w:val="24"/>
          <w:szCs w:val="24"/>
        </w:rPr>
      </w:r>
    </w:p>
    <w:p>
      <w:pPr>
        <w:pStyle w:val="Normal"/>
        <w:widowControl w:val="false"/>
        <w:spacing w:lineRule="auto" w:line="240" w:before="0" w:after="0"/>
        <w:jc w:val="center"/>
        <w:rPr>
          <w:rFonts w:ascii="Arial Narrow" w:hAnsi="Arial Narrow" w:cs="Arial"/>
          <w:b/>
          <w:b/>
          <w:sz w:val="24"/>
          <w:szCs w:val="24"/>
        </w:rPr>
      </w:pPr>
      <w:r>
        <w:rPr>
          <w:rFonts w:cs="Arial" w:ascii="Arial Narrow" w:hAnsi="Arial Narrow"/>
          <w:b/>
          <w:sz w:val="24"/>
          <w:szCs w:val="24"/>
        </w:rPr>
        <w:t>SMĚNNOU SMLOUVU</w:t>
      </w:r>
    </w:p>
    <w:p>
      <w:pPr>
        <w:pStyle w:val="Normal"/>
        <w:widowControl w:val="false"/>
        <w:spacing w:lineRule="auto" w:line="240" w:before="0" w:after="0"/>
        <w:rPr>
          <w:rFonts w:ascii="Arial Narrow" w:hAnsi="Arial Narrow" w:cs="Arial"/>
          <w:sz w:val="24"/>
          <w:szCs w:val="24"/>
        </w:rPr>
      </w:pPr>
      <w:r>
        <w:rPr>
          <w:rFonts w:cs="Arial" w:ascii="Arial Narrow" w:hAnsi="Arial Narrow"/>
          <w:sz w:val="24"/>
          <w:szCs w:val="24"/>
        </w:rPr>
      </w:r>
    </w:p>
    <w:p>
      <w:pPr>
        <w:pStyle w:val="Normal"/>
        <w:widowControl w:val="false"/>
        <w:spacing w:lineRule="auto" w:line="240" w:before="0" w:after="0"/>
        <w:jc w:val="center"/>
        <w:rPr>
          <w:rFonts w:ascii="Arial Narrow" w:hAnsi="Arial Narrow" w:cs="Arial"/>
          <w:b/>
          <w:b/>
          <w:bCs/>
          <w:sz w:val="24"/>
          <w:szCs w:val="24"/>
        </w:rPr>
      </w:pPr>
      <w:r>
        <w:rPr>
          <w:rFonts w:cs="Arial" w:ascii="Arial Narrow" w:hAnsi="Arial Narrow"/>
          <w:b/>
          <w:bCs/>
          <w:sz w:val="24"/>
          <w:szCs w:val="24"/>
        </w:rPr>
        <w:t xml:space="preserve">I. </w:t>
      </w:r>
    </w:p>
    <w:p>
      <w:pPr>
        <w:pStyle w:val="Normal"/>
        <w:widowControl w:val="false"/>
        <w:spacing w:lineRule="auto" w:line="240" w:before="0" w:after="0"/>
        <w:jc w:val="center"/>
        <w:rPr>
          <w:rFonts w:ascii="Arial Narrow" w:hAnsi="Arial Narrow" w:cs="Arial"/>
          <w:b/>
          <w:b/>
          <w:bCs/>
          <w:sz w:val="24"/>
          <w:szCs w:val="24"/>
        </w:rPr>
      </w:pPr>
      <w:r>
        <w:rPr>
          <w:rFonts w:cs="Arial" w:ascii="Arial Narrow" w:hAnsi="Arial Narrow"/>
          <w:b/>
          <w:bCs/>
          <w:sz w:val="24"/>
          <w:szCs w:val="24"/>
        </w:rPr>
        <w:t xml:space="preserve">Prohlášení smluvních stran </w:t>
      </w:r>
    </w:p>
    <w:p>
      <w:pPr>
        <w:pStyle w:val="Normal"/>
        <w:widowControl w:val="false"/>
        <w:spacing w:lineRule="auto" w:line="240" w:before="0" w:after="0"/>
        <w:jc w:val="center"/>
        <w:rPr>
          <w:rFonts w:ascii="Arial Narrow" w:hAnsi="Arial Narrow" w:cs="Arial"/>
          <w:b/>
          <w:b/>
          <w:bCs/>
          <w:sz w:val="24"/>
          <w:szCs w:val="24"/>
        </w:rPr>
      </w:pPr>
      <w:r>
        <w:rPr>
          <w:rFonts w:cs="Arial" w:ascii="Arial Narrow" w:hAnsi="Arial Narrow"/>
          <w:b/>
          <w:bCs/>
          <w:sz w:val="24"/>
          <w:szCs w:val="24"/>
        </w:rPr>
      </w:r>
    </w:p>
    <w:p>
      <w:pPr>
        <w:pStyle w:val="ListParagraph"/>
        <w:widowControl w:val="false"/>
        <w:numPr>
          <w:ilvl w:val="0"/>
          <w:numId w:val="1"/>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Hlavní město Praha, je výlučným vlastníkem pozemku parc. č. 909 – ostatní plocha, o výměře 1782 m</w:t>
      </w:r>
      <w:r>
        <w:rPr>
          <w:rFonts w:cs="Arial" w:ascii="Arial Narrow" w:hAnsi="Arial Narrow"/>
          <w:sz w:val="24"/>
          <w:szCs w:val="24"/>
          <w:vertAlign w:val="superscript"/>
        </w:rPr>
        <w:t>2</w:t>
      </w:r>
      <w:r>
        <w:rPr>
          <w:rFonts w:cs="Arial" w:ascii="Arial Narrow" w:hAnsi="Arial Narrow"/>
          <w:sz w:val="24"/>
          <w:szCs w:val="24"/>
        </w:rPr>
        <w:t xml:space="preserve"> a pozemku parcelní číslo 1246 – ostatní plocha, o výměře 1171 m</w:t>
      </w:r>
      <w:r>
        <w:rPr>
          <w:rFonts w:cs="Arial" w:ascii="Arial Narrow" w:hAnsi="Arial Narrow"/>
          <w:sz w:val="24"/>
          <w:szCs w:val="24"/>
          <w:vertAlign w:val="superscript"/>
        </w:rPr>
        <w:t>2</w:t>
      </w:r>
      <w:r>
        <w:rPr>
          <w:rFonts w:cs="Arial" w:ascii="Arial Narrow" w:hAnsi="Arial Narrow"/>
          <w:sz w:val="24"/>
          <w:szCs w:val="24"/>
        </w:rPr>
        <w:t xml:space="preserve"> zapsaných u Katastrálního úřadu pro Hlavní město Prahu, Katastrální pracoviště Praha, na listu vlastnictví č. 914, katastrální území Klánovice.  </w:t>
      </w:r>
    </w:p>
    <w:p>
      <w:pPr>
        <w:pStyle w:val="ListParagraph"/>
        <w:widowControl w:val="false"/>
        <w:spacing w:lineRule="auto" w:line="240" w:before="0" w:after="0"/>
        <w:ind w:left="426" w:hanging="0"/>
        <w:contextualSpacing/>
        <w:jc w:val="both"/>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1"/>
        </w:numPr>
        <w:spacing w:lineRule="auto" w:line="240" w:before="0" w:after="0"/>
        <w:ind w:left="426" w:hanging="360"/>
        <w:contextualSpacing/>
        <w:jc w:val="both"/>
        <w:rPr>
          <w:rFonts w:ascii="Arial Narrow" w:hAnsi="Arial Narrow" w:cs="Arial"/>
          <w:sz w:val="32"/>
          <w:szCs w:val="32"/>
        </w:rPr>
      </w:pPr>
      <w:r>
        <w:rPr>
          <w:rFonts w:ascii="Arial Narrow" w:hAnsi="Arial Narrow"/>
          <w:sz w:val="24"/>
          <w:szCs w:val="24"/>
        </w:rPr>
        <w:t>Prvnímu směňujícímu jsou v souladu s § 19 odst. 1 zákona č. 131/2000 Sb., o hlavním městě Praze, ve znění pozdějších předpisů, a vyhlášky hl. m. Prahy č. 55/2000 Sb. HMP, kterou se vydává Statut hlavního města Prahy, ve znění pozdějších předpisů, svěřeny do správy pozemky uvedené v bodě 1. tohoto článku.</w:t>
      </w:r>
    </w:p>
    <w:p>
      <w:pPr>
        <w:pStyle w:val="ListParagraph"/>
        <w:widowControl w:val="false"/>
        <w:spacing w:lineRule="auto" w:line="240" w:before="0" w:after="0"/>
        <w:ind w:left="426" w:hanging="0"/>
        <w:contextualSpacing/>
        <w:jc w:val="both"/>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1"/>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Druhý směňující prohlašuje, že je výlučným vlastníkem pozemku parc. č. 908/1 – ostatní plocha, o výměře 3872 m</w:t>
      </w:r>
      <w:r>
        <w:rPr>
          <w:rFonts w:cs="Arial" w:ascii="Arial Narrow" w:hAnsi="Arial Narrow"/>
          <w:sz w:val="24"/>
          <w:szCs w:val="24"/>
          <w:vertAlign w:val="superscript"/>
        </w:rPr>
        <w:t>2</w:t>
      </w:r>
      <w:r>
        <w:rPr>
          <w:rFonts w:cs="Arial" w:ascii="Arial Narrow" w:hAnsi="Arial Narrow"/>
          <w:sz w:val="24"/>
          <w:szCs w:val="24"/>
        </w:rPr>
        <w:t xml:space="preserve">, zapsaného u Katastrálního úřadu pro Hlavní město Prahu, Katastrální pracoviště Praha, na listu vlastnictví č. 390, katastrální území Klánovice. </w:t>
      </w:r>
    </w:p>
    <w:p>
      <w:pPr>
        <w:pStyle w:val="ListParagraph"/>
        <w:widowControl w:val="false"/>
        <w:spacing w:lineRule="auto" w:line="240" w:before="0" w:after="0"/>
        <w:ind w:left="426" w:hanging="0"/>
        <w:contextualSpacing/>
        <w:jc w:val="both"/>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1"/>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Smluvní strany uzavřely dne 29. 6. 2020 Memorandum o porozumění a společném postupu, kde se stanovily podmínky společného postupu, který se týká mimo jiné i směny pozemků.</w:t>
      </w:r>
    </w:p>
    <w:p>
      <w:pPr>
        <w:pStyle w:val="ListParagraph"/>
        <w:widowControl w:val="false"/>
        <w:spacing w:lineRule="auto" w:line="240" w:before="0" w:after="0"/>
        <w:ind w:left="426" w:hanging="0"/>
        <w:contextualSpacing/>
        <w:jc w:val="both"/>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1"/>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 xml:space="preserve">Na základě tohoto Memoranda byl dne 23. 7. 2020 zpracován panem Ing. Michalem Novákem Geometrický plán č. </w:t>
      </w:r>
      <w:r>
        <w:rPr>
          <w:rFonts w:cs="Arial" w:ascii="Arial Narrow" w:hAnsi="Arial Narrow"/>
        </w:rPr>
        <w:t>2091-129/2020</w:t>
      </w:r>
      <w:r>
        <w:rPr>
          <w:rFonts w:cs="Arial" w:ascii="Arial Narrow" w:hAnsi="Arial Narrow"/>
          <w:sz w:val="24"/>
          <w:szCs w:val="24"/>
        </w:rPr>
        <w:t xml:space="preserve">, na jehož základě dojde k rozdělení výše uvedených pozemků. </w:t>
      </w:r>
    </w:p>
    <w:p>
      <w:pPr>
        <w:pStyle w:val="Normal"/>
        <w:widowControl w:val="false"/>
        <w:spacing w:lineRule="auto" w:line="240" w:before="0" w:after="0"/>
        <w:jc w:val="both"/>
        <w:rPr>
          <w:rFonts w:ascii="Arial Narrow" w:hAnsi="Arial Narrow" w:cs="Arial"/>
          <w:sz w:val="24"/>
          <w:szCs w:val="24"/>
        </w:rPr>
      </w:pPr>
      <w:r>
        <w:rPr>
          <w:rFonts w:cs="Arial" w:ascii="Arial Narrow" w:hAnsi="Arial Narrow"/>
          <w:sz w:val="24"/>
          <w:szCs w:val="24"/>
        </w:rPr>
      </w:r>
    </w:p>
    <w:p>
      <w:pPr>
        <w:pStyle w:val="Normal"/>
        <w:widowControl w:val="false"/>
        <w:spacing w:lineRule="auto" w:line="240" w:before="0" w:after="0"/>
        <w:ind w:left="426" w:hanging="0"/>
        <w:jc w:val="both"/>
        <w:rPr>
          <w:rFonts w:ascii="Arial Narrow" w:hAnsi="Arial Narrow" w:cs="Arial"/>
          <w:sz w:val="24"/>
          <w:szCs w:val="24"/>
        </w:rPr>
      </w:pPr>
      <w:r>
        <w:rPr>
          <w:rFonts w:cs="Arial" w:ascii="Arial Narrow" w:hAnsi="Arial Narrow"/>
          <w:sz w:val="24"/>
          <w:szCs w:val="24"/>
        </w:rPr>
        <w:t>Tento GP byl předběžně schválen zastupitelstvem MČ dne 28. ledna 2021 usnesením č. 172/2021.</w:t>
      </w:r>
    </w:p>
    <w:p>
      <w:pPr>
        <w:pStyle w:val="Normal"/>
        <w:rPr>
          <w:rFonts w:ascii="Arial Narrow" w:hAnsi="Arial Narrow" w:cs="Arial"/>
          <w:sz w:val="24"/>
          <w:szCs w:val="24"/>
        </w:rPr>
      </w:pPr>
      <w:r>
        <w:rPr>
          <w:rFonts w:cs="Arial" w:ascii="Arial Narrow" w:hAnsi="Arial Narrow"/>
          <w:sz w:val="24"/>
          <w:szCs w:val="24"/>
        </w:rPr>
      </w:r>
      <w:r>
        <w:br w:type="page"/>
      </w:r>
    </w:p>
    <w:p>
      <w:pPr>
        <w:pStyle w:val="Normal"/>
        <w:widowControl w:val="false"/>
        <w:spacing w:lineRule="auto" w:line="240" w:before="0" w:after="0"/>
        <w:jc w:val="center"/>
        <w:rPr>
          <w:rFonts w:ascii="Arial Narrow" w:hAnsi="Arial Narrow" w:cs="Arial"/>
          <w:b/>
          <w:b/>
          <w:bCs/>
          <w:sz w:val="24"/>
          <w:szCs w:val="24"/>
        </w:rPr>
      </w:pPr>
      <w:r>
        <w:rPr>
          <w:rFonts w:cs="Arial" w:ascii="Arial Narrow" w:hAnsi="Arial Narrow"/>
          <w:b/>
          <w:bCs/>
          <w:sz w:val="24"/>
          <w:szCs w:val="24"/>
        </w:rPr>
        <w:t xml:space="preserve">II. </w:t>
      </w:r>
    </w:p>
    <w:p>
      <w:pPr>
        <w:pStyle w:val="Normal"/>
        <w:widowControl w:val="false"/>
        <w:spacing w:lineRule="auto" w:line="240" w:before="0" w:after="0"/>
        <w:jc w:val="center"/>
        <w:rPr>
          <w:rFonts w:ascii="Arial Narrow" w:hAnsi="Arial Narrow" w:cs="Arial"/>
          <w:b/>
          <w:b/>
          <w:bCs/>
          <w:sz w:val="24"/>
          <w:szCs w:val="24"/>
        </w:rPr>
      </w:pPr>
      <w:r>
        <w:rPr>
          <w:rFonts w:cs="Arial" w:ascii="Arial Narrow" w:hAnsi="Arial Narrow"/>
          <w:b/>
          <w:bCs/>
          <w:sz w:val="24"/>
          <w:szCs w:val="24"/>
        </w:rPr>
        <w:t>Předmět smlouvy</w:t>
      </w:r>
    </w:p>
    <w:p>
      <w:pPr>
        <w:pStyle w:val="Normal"/>
        <w:widowControl w:val="false"/>
        <w:spacing w:lineRule="auto" w:line="240" w:before="0" w:after="0"/>
        <w:jc w:val="both"/>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4"/>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 xml:space="preserve">Touto smlouvou její účastníci směňují nově vzniklé pozemky </w:t>
      </w:r>
    </w:p>
    <w:p>
      <w:pPr>
        <w:pStyle w:val="ListParagraph"/>
        <w:widowControl w:val="false"/>
        <w:numPr>
          <w:ilvl w:val="0"/>
          <w:numId w:val="2"/>
        </w:numPr>
        <w:spacing w:lineRule="auto" w:line="240" w:before="0" w:after="0"/>
        <w:contextualSpacing/>
        <w:jc w:val="both"/>
        <w:rPr>
          <w:rFonts w:ascii="Arial Narrow" w:hAnsi="Arial Narrow" w:cs="Arial"/>
          <w:sz w:val="24"/>
          <w:szCs w:val="24"/>
        </w:rPr>
      </w:pPr>
      <w:r>
        <w:rPr>
          <w:rFonts w:cs="Arial" w:ascii="Arial Narrow" w:hAnsi="Arial Narrow"/>
          <w:sz w:val="24"/>
          <w:szCs w:val="24"/>
        </w:rPr>
        <w:t xml:space="preserve">parc. č. 909/2 </w:t>
        <w:tab/>
        <w:t>o výměře   13 m</w:t>
      </w:r>
      <w:r>
        <w:rPr>
          <w:rFonts w:cs="Arial" w:ascii="Arial Narrow" w:hAnsi="Arial Narrow"/>
          <w:sz w:val="24"/>
          <w:szCs w:val="24"/>
          <w:vertAlign w:val="superscript"/>
        </w:rPr>
        <w:t>2</w:t>
      </w:r>
      <w:r>
        <w:rPr>
          <w:rFonts w:cs="Arial" w:ascii="Arial Narrow" w:hAnsi="Arial Narrow"/>
          <w:sz w:val="24"/>
          <w:szCs w:val="24"/>
        </w:rPr>
        <w:t>,</w:t>
      </w:r>
    </w:p>
    <w:p>
      <w:pPr>
        <w:pStyle w:val="ListParagraph"/>
        <w:widowControl w:val="false"/>
        <w:numPr>
          <w:ilvl w:val="0"/>
          <w:numId w:val="2"/>
        </w:numPr>
        <w:spacing w:lineRule="auto" w:line="240" w:before="0" w:after="0"/>
        <w:contextualSpacing/>
        <w:jc w:val="both"/>
        <w:rPr>
          <w:rFonts w:ascii="Arial Narrow" w:hAnsi="Arial Narrow" w:cs="Arial"/>
          <w:sz w:val="24"/>
          <w:szCs w:val="24"/>
        </w:rPr>
      </w:pPr>
      <w:r>
        <w:rPr>
          <w:rFonts w:cs="Arial" w:ascii="Arial Narrow" w:hAnsi="Arial Narrow"/>
          <w:sz w:val="24"/>
          <w:szCs w:val="24"/>
        </w:rPr>
        <w:t xml:space="preserve">parc. č. 909/3 </w:t>
        <w:tab/>
        <w:t>o výměře  129 m</w:t>
      </w:r>
      <w:r>
        <w:rPr>
          <w:rFonts w:cs="Arial" w:ascii="Arial Narrow" w:hAnsi="Arial Narrow"/>
          <w:sz w:val="24"/>
          <w:szCs w:val="24"/>
          <w:vertAlign w:val="superscript"/>
        </w:rPr>
        <w:t>2</w:t>
      </w:r>
      <w:r>
        <w:rPr>
          <w:rFonts w:cs="Arial" w:ascii="Arial Narrow" w:hAnsi="Arial Narrow"/>
          <w:sz w:val="24"/>
          <w:szCs w:val="24"/>
        </w:rPr>
        <w:t xml:space="preserve">, </w:t>
      </w:r>
    </w:p>
    <w:p>
      <w:pPr>
        <w:pStyle w:val="ListParagraph"/>
        <w:widowControl w:val="false"/>
        <w:numPr>
          <w:ilvl w:val="0"/>
          <w:numId w:val="2"/>
        </w:numPr>
        <w:spacing w:lineRule="auto" w:line="240" w:before="0" w:after="0"/>
        <w:contextualSpacing/>
        <w:jc w:val="both"/>
        <w:rPr>
          <w:rFonts w:ascii="Arial Narrow" w:hAnsi="Arial Narrow" w:cs="Arial"/>
          <w:sz w:val="24"/>
          <w:szCs w:val="24"/>
        </w:rPr>
      </w:pPr>
      <w:r>
        <w:rPr>
          <w:rFonts w:cs="Arial" w:ascii="Arial Narrow" w:hAnsi="Arial Narrow"/>
          <w:sz w:val="24"/>
          <w:szCs w:val="24"/>
        </w:rPr>
        <w:t xml:space="preserve">parc. č. 909/4 </w:t>
        <w:tab/>
        <w:t>o výměře    6 m</w:t>
      </w:r>
      <w:r>
        <w:rPr>
          <w:rFonts w:cs="Arial" w:ascii="Arial Narrow" w:hAnsi="Arial Narrow"/>
          <w:sz w:val="24"/>
          <w:szCs w:val="24"/>
          <w:vertAlign w:val="superscript"/>
        </w:rPr>
        <w:t>2</w:t>
      </w:r>
      <w:r>
        <w:rPr>
          <w:rFonts w:cs="Arial" w:ascii="Arial Narrow" w:hAnsi="Arial Narrow"/>
          <w:sz w:val="24"/>
          <w:szCs w:val="24"/>
        </w:rPr>
        <w:t>,</w:t>
      </w:r>
    </w:p>
    <w:p>
      <w:pPr>
        <w:pStyle w:val="ListParagraph"/>
        <w:widowControl w:val="false"/>
        <w:numPr>
          <w:ilvl w:val="0"/>
          <w:numId w:val="2"/>
        </w:numPr>
        <w:spacing w:lineRule="auto" w:line="240" w:before="0" w:after="0"/>
        <w:contextualSpacing/>
        <w:jc w:val="both"/>
        <w:rPr>
          <w:rFonts w:ascii="Arial Narrow" w:hAnsi="Arial Narrow" w:cs="Arial"/>
          <w:sz w:val="24"/>
          <w:szCs w:val="24"/>
        </w:rPr>
      </w:pPr>
      <w:r>
        <w:rPr>
          <w:rFonts w:cs="Arial" w:ascii="Arial Narrow" w:hAnsi="Arial Narrow"/>
          <w:sz w:val="24"/>
          <w:szCs w:val="24"/>
        </w:rPr>
        <w:t xml:space="preserve">parc. č. 1246/5 </w:t>
        <w:tab/>
        <w:t>o výměře  132 m</w:t>
      </w:r>
      <w:r>
        <w:rPr>
          <w:rFonts w:cs="Arial" w:ascii="Arial Narrow" w:hAnsi="Arial Narrow"/>
          <w:sz w:val="24"/>
          <w:szCs w:val="24"/>
          <w:vertAlign w:val="superscript"/>
        </w:rPr>
        <w:t>2</w:t>
      </w:r>
      <w:r>
        <w:rPr>
          <w:rFonts w:cs="Arial" w:ascii="Arial Narrow" w:hAnsi="Arial Narrow"/>
          <w:sz w:val="24"/>
          <w:szCs w:val="24"/>
        </w:rPr>
        <w:t>,</w:t>
      </w:r>
    </w:p>
    <w:p>
      <w:pPr>
        <w:pStyle w:val="ListParagraph"/>
        <w:widowControl w:val="false"/>
        <w:numPr>
          <w:ilvl w:val="0"/>
          <w:numId w:val="2"/>
        </w:numPr>
        <w:spacing w:lineRule="auto" w:line="240" w:before="0" w:after="0"/>
        <w:contextualSpacing/>
        <w:jc w:val="both"/>
        <w:rPr>
          <w:rFonts w:ascii="Arial Narrow" w:hAnsi="Arial Narrow" w:cs="Arial"/>
          <w:sz w:val="24"/>
          <w:szCs w:val="24"/>
        </w:rPr>
      </w:pPr>
      <w:r>
        <w:rPr>
          <w:rFonts w:cs="Arial" w:ascii="Arial Narrow" w:hAnsi="Arial Narrow"/>
          <w:sz w:val="24"/>
          <w:szCs w:val="24"/>
        </w:rPr>
        <w:t xml:space="preserve">parc. č. 1246/2 </w:t>
        <w:tab/>
        <w:t>o výměře   97 m</w:t>
      </w:r>
      <w:r>
        <w:rPr>
          <w:rFonts w:cs="Arial" w:ascii="Arial Narrow" w:hAnsi="Arial Narrow"/>
          <w:sz w:val="24"/>
          <w:szCs w:val="24"/>
          <w:vertAlign w:val="superscript"/>
        </w:rPr>
        <w:t>2</w:t>
      </w:r>
      <w:r>
        <w:rPr>
          <w:rFonts w:cs="Arial" w:ascii="Arial Narrow" w:hAnsi="Arial Narrow"/>
          <w:sz w:val="24"/>
          <w:szCs w:val="24"/>
        </w:rPr>
        <w:t>,</w:t>
      </w:r>
    </w:p>
    <w:p>
      <w:pPr>
        <w:pStyle w:val="ListParagraph"/>
        <w:widowControl w:val="false"/>
        <w:numPr>
          <w:ilvl w:val="0"/>
          <w:numId w:val="2"/>
        </w:numPr>
        <w:spacing w:lineRule="auto" w:line="240" w:before="0" w:after="0"/>
        <w:contextualSpacing/>
        <w:jc w:val="both"/>
        <w:rPr>
          <w:rFonts w:ascii="Arial Narrow" w:hAnsi="Arial Narrow" w:cs="Arial"/>
          <w:sz w:val="24"/>
          <w:szCs w:val="24"/>
        </w:rPr>
      </w:pPr>
      <w:r>
        <w:rPr>
          <w:rFonts w:cs="Arial" w:ascii="Arial Narrow" w:hAnsi="Arial Narrow"/>
          <w:sz w:val="24"/>
          <w:szCs w:val="24"/>
        </w:rPr>
        <w:t xml:space="preserve">parc. č. 1246/1 </w:t>
        <w:tab/>
        <w:t>o výměře    1 m</w:t>
      </w:r>
      <w:r>
        <w:rPr>
          <w:rFonts w:cs="Arial" w:ascii="Arial Narrow" w:hAnsi="Arial Narrow"/>
          <w:sz w:val="24"/>
          <w:szCs w:val="24"/>
          <w:vertAlign w:val="superscript"/>
        </w:rPr>
        <w:t>2</w:t>
      </w:r>
      <w:r>
        <w:rPr>
          <w:rFonts w:cs="Arial" w:ascii="Arial Narrow" w:hAnsi="Arial Narrow"/>
          <w:sz w:val="24"/>
          <w:szCs w:val="24"/>
        </w:rPr>
        <w:t xml:space="preserve"> </w:t>
      </w:r>
    </w:p>
    <w:p>
      <w:pPr>
        <w:pStyle w:val="ListParagraph"/>
        <w:widowControl w:val="false"/>
        <w:spacing w:lineRule="auto" w:line="240" w:before="0" w:after="0"/>
        <w:ind w:left="1080" w:hanging="0"/>
        <w:contextualSpacing/>
        <w:jc w:val="both"/>
        <w:rPr>
          <w:rFonts w:ascii="Arial Narrow" w:hAnsi="Arial Narrow" w:cs="Arial"/>
          <w:sz w:val="24"/>
          <w:szCs w:val="24"/>
        </w:rPr>
      </w:pPr>
      <w:r>
        <w:rPr>
          <w:rFonts w:cs="Arial" w:ascii="Arial Narrow" w:hAnsi="Arial Narrow"/>
          <w:sz w:val="24"/>
          <w:szCs w:val="24"/>
        </w:rPr>
        <w:t>tj. celkem výměra 378 m</w:t>
      </w:r>
      <w:r>
        <w:rPr>
          <w:rFonts w:cs="Arial" w:ascii="Arial Narrow" w:hAnsi="Arial Narrow"/>
          <w:sz w:val="24"/>
          <w:szCs w:val="24"/>
          <w:vertAlign w:val="superscript"/>
        </w:rPr>
        <w:t>2</w:t>
      </w:r>
      <w:r>
        <w:rPr>
          <w:rFonts w:cs="Arial" w:ascii="Arial Narrow" w:hAnsi="Arial Narrow"/>
          <w:sz w:val="24"/>
          <w:szCs w:val="24"/>
        </w:rPr>
        <w:t xml:space="preserve"> ve vlastnictví prvního směňujícího         </w:t>
      </w:r>
    </w:p>
    <w:p>
      <w:pPr>
        <w:pStyle w:val="ListParagraph"/>
        <w:widowControl w:val="false"/>
        <w:spacing w:lineRule="auto" w:line="240" w:before="0" w:after="0"/>
        <w:ind w:left="1080" w:hanging="0"/>
        <w:contextualSpacing/>
        <w:jc w:val="both"/>
        <w:rPr>
          <w:rFonts w:ascii="Arial Narrow" w:hAnsi="Arial Narrow" w:cs="Arial"/>
          <w:sz w:val="24"/>
          <w:szCs w:val="24"/>
        </w:rPr>
      </w:pPr>
      <w:r>
        <w:rPr>
          <w:rFonts w:cs="Arial" w:ascii="Arial Narrow" w:hAnsi="Arial Narrow"/>
          <w:sz w:val="24"/>
          <w:szCs w:val="24"/>
        </w:rPr>
      </w:r>
    </w:p>
    <w:p>
      <w:pPr>
        <w:pStyle w:val="ListParagraph"/>
        <w:widowControl w:val="false"/>
        <w:spacing w:lineRule="auto" w:line="240" w:before="0" w:after="0"/>
        <w:ind w:left="1080" w:hanging="0"/>
        <w:contextualSpacing/>
        <w:jc w:val="both"/>
        <w:rPr>
          <w:rFonts w:ascii="Arial Narrow" w:hAnsi="Arial Narrow" w:cs="Arial"/>
          <w:sz w:val="24"/>
          <w:szCs w:val="24"/>
        </w:rPr>
      </w:pPr>
      <w:r>
        <w:rPr>
          <w:rFonts w:cs="Arial" w:ascii="Arial Narrow" w:hAnsi="Arial Narrow"/>
          <w:sz w:val="24"/>
          <w:szCs w:val="24"/>
        </w:rPr>
        <w:t xml:space="preserve">za nově vzniklý pozemek </w:t>
      </w:r>
    </w:p>
    <w:p>
      <w:pPr>
        <w:pStyle w:val="ListParagraph"/>
        <w:widowControl w:val="false"/>
        <w:spacing w:lineRule="auto" w:line="240" w:before="0" w:after="0"/>
        <w:ind w:left="1080" w:hanging="0"/>
        <w:contextualSpacing/>
        <w:jc w:val="both"/>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2"/>
        </w:numPr>
        <w:spacing w:lineRule="auto" w:line="240" w:before="0" w:after="0"/>
        <w:contextualSpacing/>
        <w:jc w:val="both"/>
        <w:rPr>
          <w:rFonts w:ascii="Arial Narrow" w:hAnsi="Arial Narrow" w:cs="Arial"/>
          <w:sz w:val="24"/>
          <w:szCs w:val="24"/>
        </w:rPr>
      </w:pPr>
      <w:r>
        <w:rPr>
          <w:rFonts w:cs="Arial" w:ascii="Arial Narrow" w:hAnsi="Arial Narrow"/>
          <w:sz w:val="24"/>
          <w:szCs w:val="24"/>
        </w:rPr>
        <w:t>parc. č. 908/1 o výměře 378 m</w:t>
      </w:r>
      <w:r>
        <w:rPr>
          <w:rFonts w:cs="Arial" w:ascii="Arial Narrow" w:hAnsi="Arial Narrow"/>
          <w:sz w:val="24"/>
          <w:szCs w:val="24"/>
          <w:vertAlign w:val="superscript"/>
        </w:rPr>
        <w:t>2</w:t>
      </w:r>
      <w:r>
        <w:rPr>
          <w:rFonts w:cs="Arial" w:ascii="Arial Narrow" w:hAnsi="Arial Narrow"/>
          <w:sz w:val="24"/>
          <w:szCs w:val="24"/>
        </w:rPr>
        <w:t xml:space="preserve"> ve vlastnictví druhého směňujícího.</w:t>
      </w:r>
    </w:p>
    <w:p>
      <w:pPr>
        <w:pStyle w:val="Normal"/>
        <w:widowControl w:val="false"/>
        <w:spacing w:lineRule="auto" w:line="240" w:before="0" w:after="0"/>
        <w:jc w:val="both"/>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3"/>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Nové vzniklé pozemky parc.č. 1246/1, 1246/2, 1246/5, 909/2, 909/3 a 909/4 o celkové výměře 378 m</w:t>
      </w:r>
      <w:r>
        <w:rPr>
          <w:rFonts w:cs="Arial" w:ascii="Arial Narrow" w:hAnsi="Arial Narrow"/>
          <w:sz w:val="24"/>
          <w:szCs w:val="24"/>
          <w:vertAlign w:val="superscript"/>
        </w:rPr>
        <w:t>2</w:t>
      </w:r>
      <w:r>
        <w:rPr>
          <w:rFonts w:cs="Arial" w:ascii="Arial Narrow" w:hAnsi="Arial Narrow"/>
          <w:sz w:val="24"/>
          <w:szCs w:val="24"/>
        </w:rPr>
        <w:t xml:space="preserve"> přijímá do svého vlastnictví druhý směňující a nově vzniklý pozemek parc. č. 908/1 o výměře 378 m</w:t>
      </w:r>
      <w:r>
        <w:rPr>
          <w:rFonts w:cs="Arial" w:ascii="Arial Narrow" w:hAnsi="Arial Narrow"/>
          <w:sz w:val="24"/>
          <w:szCs w:val="24"/>
          <w:vertAlign w:val="superscript"/>
        </w:rPr>
        <w:t xml:space="preserve">2 </w:t>
      </w:r>
      <w:r>
        <w:rPr>
          <w:rFonts w:cs="Arial" w:ascii="Arial Narrow" w:hAnsi="Arial Narrow"/>
          <w:sz w:val="24"/>
          <w:szCs w:val="24"/>
        </w:rPr>
        <w:t xml:space="preserve">přijímá do svého vlastnictví první směňující. </w:t>
      </w:r>
    </w:p>
    <w:p>
      <w:pPr>
        <w:pStyle w:val="Normal"/>
        <w:widowControl w:val="false"/>
        <w:spacing w:lineRule="auto" w:line="240" w:before="0" w:after="0"/>
        <w:jc w:val="both"/>
        <w:rPr>
          <w:rFonts w:ascii="Arial Narrow" w:hAnsi="Arial Narrow" w:cs="Arial"/>
          <w:sz w:val="24"/>
          <w:szCs w:val="24"/>
        </w:rPr>
      </w:pPr>
      <w:r>
        <w:rPr>
          <w:rFonts w:cs="Arial" w:ascii="Arial Narrow" w:hAnsi="Arial Narrow"/>
          <w:sz w:val="24"/>
          <w:szCs w:val="24"/>
        </w:rPr>
      </w:r>
    </w:p>
    <w:p>
      <w:pPr>
        <w:pStyle w:val="Normal"/>
        <w:widowControl w:val="false"/>
        <w:spacing w:lineRule="auto" w:line="240" w:before="0" w:after="0"/>
        <w:ind w:left="426" w:hanging="0"/>
        <w:jc w:val="both"/>
        <w:rPr>
          <w:rFonts w:ascii="Arial Narrow" w:hAnsi="Arial Narrow" w:cs="Arial"/>
          <w:sz w:val="24"/>
          <w:szCs w:val="24"/>
        </w:rPr>
      </w:pPr>
      <w:r>
        <w:rPr>
          <w:rFonts w:cs="Arial" w:ascii="Arial Narrow" w:hAnsi="Arial Narrow"/>
          <w:sz w:val="24"/>
          <w:szCs w:val="24"/>
        </w:rPr>
        <w:t>Tato směna byla předběžně schválena zastupitelstvem MČ dne 28. ledna 2021 us</w:t>
      </w:r>
      <w:r>
        <w:rPr>
          <w:rFonts w:cs="Arial" w:ascii="Arial Narrow" w:hAnsi="Arial Narrow"/>
          <w:sz w:val="24"/>
          <w:szCs w:val="24"/>
          <w:lang w:eastAsia="zh-CN"/>
        </w:rPr>
        <w:t>n.</w:t>
      </w:r>
      <w:r>
        <w:rPr>
          <w:rFonts w:cs="Arial" w:ascii="Arial Narrow" w:hAnsi="Arial Narrow"/>
          <w:sz w:val="24"/>
          <w:szCs w:val="24"/>
        </w:rPr>
        <w:t xml:space="preserve"> č. 168/2021.</w:t>
      </w:r>
    </w:p>
    <w:p>
      <w:pPr>
        <w:pStyle w:val="Normal"/>
        <w:widowControl w:val="false"/>
        <w:spacing w:lineRule="auto" w:line="240" w:before="0" w:after="0"/>
        <w:rPr>
          <w:rFonts w:ascii="Arial Narrow" w:hAnsi="Arial Narrow" w:cs="Arial"/>
          <w:sz w:val="24"/>
          <w:szCs w:val="24"/>
        </w:rPr>
      </w:pPr>
      <w:r>
        <w:rPr>
          <w:rFonts w:cs="Arial" w:ascii="Arial Narrow" w:hAnsi="Arial Narrow"/>
          <w:sz w:val="24"/>
          <w:szCs w:val="24"/>
        </w:rPr>
      </w:r>
    </w:p>
    <w:p>
      <w:pPr>
        <w:pStyle w:val="Normal"/>
        <w:widowControl w:val="false"/>
        <w:spacing w:lineRule="auto" w:line="240" w:before="0" w:after="0"/>
        <w:jc w:val="center"/>
        <w:rPr>
          <w:rFonts w:ascii="Arial Narrow" w:hAnsi="Arial Narrow" w:cs="Arial"/>
          <w:b/>
          <w:b/>
          <w:bCs/>
          <w:sz w:val="24"/>
          <w:szCs w:val="24"/>
        </w:rPr>
      </w:pPr>
      <w:r>
        <w:rPr>
          <w:rFonts w:cs="Arial" w:ascii="Arial Narrow" w:hAnsi="Arial Narrow"/>
          <w:b/>
          <w:bCs/>
          <w:sz w:val="24"/>
          <w:szCs w:val="24"/>
        </w:rPr>
        <w:t xml:space="preserve">III. </w:t>
      </w:r>
    </w:p>
    <w:p>
      <w:pPr>
        <w:pStyle w:val="Normal"/>
        <w:widowControl w:val="false"/>
        <w:spacing w:lineRule="auto" w:line="240" w:before="0" w:after="0"/>
        <w:jc w:val="center"/>
        <w:rPr>
          <w:rFonts w:ascii="Arial Narrow" w:hAnsi="Arial Narrow" w:cs="Arial"/>
          <w:b/>
          <w:b/>
          <w:bCs/>
          <w:sz w:val="24"/>
          <w:szCs w:val="24"/>
        </w:rPr>
      </w:pPr>
      <w:r>
        <w:rPr>
          <w:rFonts w:cs="Arial" w:ascii="Arial Narrow" w:hAnsi="Arial Narrow"/>
          <w:b/>
          <w:bCs/>
          <w:sz w:val="24"/>
          <w:szCs w:val="24"/>
        </w:rPr>
        <w:t>Ostatní ujednání</w:t>
      </w:r>
    </w:p>
    <w:p>
      <w:pPr>
        <w:pStyle w:val="Normal"/>
        <w:widowControl w:val="false"/>
        <w:spacing w:lineRule="auto" w:line="240" w:before="0" w:after="0"/>
        <w:jc w:val="center"/>
        <w:rPr>
          <w:rFonts w:ascii="Arial Narrow" w:hAnsi="Arial Narrow" w:cs="Arial"/>
          <w:b/>
          <w:b/>
          <w:bCs/>
          <w:sz w:val="24"/>
          <w:szCs w:val="24"/>
        </w:rPr>
      </w:pPr>
      <w:r>
        <w:rPr>
          <w:rFonts w:cs="Arial" w:ascii="Arial Narrow" w:hAnsi="Arial Narrow"/>
          <w:b/>
          <w:bCs/>
          <w:sz w:val="24"/>
          <w:szCs w:val="24"/>
        </w:rPr>
        <w:t xml:space="preserve"> </w:t>
      </w:r>
    </w:p>
    <w:p>
      <w:pPr>
        <w:pStyle w:val="ListParagraph"/>
        <w:widowControl w:val="false"/>
        <w:numPr>
          <w:ilvl w:val="0"/>
          <w:numId w:val="5"/>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 xml:space="preserve">Účastníci smlouvy prohlašují, že primárním záměrem směny je dosáhnout parity, co se týká plochy směňovaných pozemků, a toho bylo vypracovaným a výše citovaným geometrickým plánem dosaženo. Účastníci smlouvy nechali každý za svoje pozemky vypracovat tržní odhad ceny pozemků soudním znalcem – Ing. Evou Lukášovou Fronovou a prohlašují, že jimi stanovené hodnoty pozemku parc. č. 909/2, 909/3, 909/4 a parc. č. 1246/5, 1246/2 a 1246/1 na straně jedné a pozemku parc. č. 908/1 na straně druhé jsou z hlediska významu pro směňující adekvátní. Tržní cena směňovaných pozemků ve vlastnictví prvního směňujícího nepřekračuje hodnotu 5 000 000 Kč, tudíž se na ně nevztahují povinnosti Městské části Praha Klánovice vyplývající z Obecně závazné vyhlášky č. 55/2000 Sb. hl. m. Prahy, kterou se vydává Statut hlavního města Prahy, část čtvrtá, § 18, odst. a).    </w:t>
      </w:r>
    </w:p>
    <w:p>
      <w:pPr>
        <w:pStyle w:val="Normal"/>
        <w:widowControl w:val="false"/>
        <w:spacing w:lineRule="auto" w:line="240" w:before="0" w:after="0"/>
        <w:ind w:left="426" w:hanging="0"/>
        <w:jc w:val="both"/>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5"/>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Po provedení směny jsou tedy účastníci této smlouvy mezi sebou zcela vyrovnáni a nemají vůči sobě v souvislosti s touto smlouvou žádné další nároky.</w:t>
      </w:r>
    </w:p>
    <w:p>
      <w:pPr>
        <w:pStyle w:val="Normal"/>
        <w:widowControl w:val="false"/>
        <w:spacing w:lineRule="auto" w:line="240" w:before="0" w:after="0"/>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5"/>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První směňující a druhý směňující prohlašují, že na směňovaných pozemcích neváznou žádné dluhy, věcná břemena ani zástavní práva, práva třetích osob nebo jiná omezení. První a druhý směňující se vzájemně ujišťují, že žádné z těchto omezení nebo práv nebude ke směňovaným pozemkům zřízeno ani ke dni podání návrhu na vklad vlastnického práva dle této smlouvy do katastru nemovitostí.</w:t>
      </w:r>
    </w:p>
    <w:p>
      <w:pPr>
        <w:pStyle w:val="Normal"/>
        <w:widowControl w:val="false"/>
        <w:spacing w:lineRule="auto" w:line="240" w:before="0" w:after="0"/>
        <w:ind w:left="426" w:hanging="0"/>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5"/>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 xml:space="preserve">Účastníci smlouvy podpisem této smlouvy stvrzují, že je jim stav směňovaných pozemků znám a že si tyto pozemky řádně prohlédli. </w:t>
      </w:r>
    </w:p>
    <w:p>
      <w:pPr>
        <w:pStyle w:val="Normal"/>
        <w:widowControl w:val="false"/>
        <w:spacing w:lineRule="auto" w:line="240" w:before="0" w:after="0"/>
        <w:ind w:left="426" w:hanging="0"/>
        <w:jc w:val="both"/>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5"/>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 xml:space="preserve">Smluvní strany rovněž podpisem této smlouvy stvrzují, že se ve smyslu ustanovení § 980 až § 986 zákona č. 89/2012, občanský zákoník, v platném znění, seznámili s aktuálním stavem zápisů ve veřejném seznamu, který je veden u Katastrálního úřadu pro hlavní město Praha, katastrální pracoviště Praha a ve kterém jsou směňované nemovitosti zapsány a že proti nim nevznášejí žádné námitky. </w:t>
      </w:r>
      <w:r>
        <w:br w:type="page"/>
      </w:r>
    </w:p>
    <w:p>
      <w:pPr>
        <w:pStyle w:val="ListParagraph"/>
        <w:widowControl w:val="false"/>
        <w:spacing w:lineRule="auto" w:line="240" w:before="0" w:after="0"/>
        <w:ind w:left="426" w:hanging="0"/>
        <w:contextualSpacing/>
        <w:jc w:val="both"/>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5"/>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 xml:space="preserve">Smluvní strany se zavazují si odevzdat směňované nemovitosti v tom stavu, v jakém byly v okamžiku uzavření této smlouvy. </w:t>
      </w:r>
    </w:p>
    <w:p>
      <w:pPr>
        <w:pStyle w:val="Normal"/>
        <w:widowControl w:val="false"/>
        <w:spacing w:lineRule="auto" w:line="240" w:before="0" w:after="0"/>
        <w:ind w:left="426" w:hanging="0"/>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5"/>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 xml:space="preserve">V případě nahodilé zkázy věci před přechodem nebezpečí škody na věci a přechodu vlastnictví k plodům a užitkům směňovaných věcí se užije úpravy zákona č. 89/2012, občanský zákoník, v platném znění. </w:t>
      </w:r>
    </w:p>
    <w:p>
      <w:pPr>
        <w:pStyle w:val="Normal"/>
        <w:widowControl w:val="false"/>
        <w:spacing w:lineRule="auto" w:line="240" w:before="0" w:after="0"/>
        <w:ind w:left="426" w:hanging="0"/>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5"/>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Účastníci smlouvy berou na vědomí, že součástí vkladu na příslušný katastr nemovitostí musí být změna pravomocného územního rozhodnutí o dělení pozemků, k jejímuž vydání je příslušný Odbor stavební úřad Prahy 21. O tuto změnu bude zažádáno v souladu s uzavřeným Memorandem, tj. PŘÍLOHOU 3 Memoranda a ve smyslu čl. IV. Memoranda. Žádost o vydání změny územního rozhodnutí o dělení pozemků podá druhý směňující bez odkladu a v okamžiku, kdy to bude vzhledem ke stavu probíhajícího územního řízení možné.</w:t>
      </w:r>
    </w:p>
    <w:p>
      <w:pPr>
        <w:pStyle w:val="ListParagraph"/>
        <w:widowControl w:val="false"/>
        <w:spacing w:lineRule="auto" w:line="240" w:before="0" w:after="0"/>
        <w:ind w:left="426" w:hanging="0"/>
        <w:contextualSpacing/>
        <w:jc w:val="both"/>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5"/>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 xml:space="preserve">Účastníci smlouvy berou na vědomí, že vlastnictví k nemovité věci, kterou každý ze směňujících směnou přijímá, nabývá až vkladem práv touto smlouvou nabytých do veřejného seznamu vedeného příslušným katastrem nemovitostí. Smluvní strany se dohodly, že návrh na vklad bude u příslušného katastrálního úřadu podán nejpozději do 7 dnů po nabytí právní moci změny územního rozhodnutí. </w:t>
      </w:r>
      <w:r>
        <w:rPr>
          <w:rFonts w:cs="Arial" w:ascii="Arial Narrow" w:hAnsi="Arial Narrow"/>
        </w:rPr>
        <w:t xml:space="preserve">Návrh na vklad podá </w:t>
      </w:r>
      <w:r>
        <w:rPr>
          <w:rFonts w:cs="Arial" w:ascii="Arial Narrow" w:hAnsi="Arial Narrow"/>
          <w:sz w:val="24"/>
          <w:szCs w:val="24"/>
        </w:rPr>
        <w:t xml:space="preserve">druhý směňující. </w:t>
      </w:r>
    </w:p>
    <w:p>
      <w:pPr>
        <w:pStyle w:val="Normal"/>
        <w:widowControl w:val="false"/>
        <w:spacing w:lineRule="auto" w:line="240" w:before="0" w:after="0"/>
        <w:jc w:val="both"/>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5"/>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 xml:space="preserve">V případě, že katastrální úřad vyzve navrhovatele k odstranění nedostatků návrhu na vklad práva dle této smlouvy, zavazují se obě smluvní strany ve stanovené lhůtě katastrálním úřadem tyto nedostatky odstranit. V případě, že příslušný katastrální úřad návrh vkladu vlastnického práva zamítne nebo zastaví řízení, zavazují se obě smluvní strany neodkladně odstranit nedostatky, pro které byl návrh zamítnut nebo zastaveno řízení o povolení tohoto vkladu a podat nový návrh na povolení vkladu práva dle této smlouvy. </w:t>
      </w:r>
    </w:p>
    <w:p>
      <w:pPr>
        <w:pStyle w:val="Normal"/>
        <w:widowControl w:val="false"/>
        <w:spacing w:lineRule="auto" w:line="240" w:before="0" w:after="0"/>
        <w:ind w:left="426" w:hanging="0"/>
        <w:rPr>
          <w:rFonts w:ascii="Arial Narrow" w:hAnsi="Arial Narrow" w:cs="Arial"/>
          <w:sz w:val="24"/>
          <w:szCs w:val="24"/>
        </w:rPr>
      </w:pPr>
      <w:r>
        <w:rPr>
          <w:rFonts w:cs="Arial" w:ascii="Arial Narrow" w:hAnsi="Arial Narrow"/>
          <w:sz w:val="24"/>
          <w:szCs w:val="24"/>
        </w:rPr>
      </w:r>
    </w:p>
    <w:p>
      <w:pPr>
        <w:pStyle w:val="Normal"/>
        <w:widowControl w:val="false"/>
        <w:spacing w:lineRule="auto" w:line="240" w:before="0" w:after="0"/>
        <w:jc w:val="center"/>
        <w:rPr>
          <w:rFonts w:ascii="Arial Narrow" w:hAnsi="Arial Narrow" w:cs="Arial"/>
          <w:b/>
          <w:b/>
          <w:bCs/>
          <w:sz w:val="24"/>
          <w:szCs w:val="24"/>
        </w:rPr>
      </w:pPr>
      <w:r>
        <w:rPr>
          <w:rFonts w:cs="Arial" w:ascii="Arial Narrow" w:hAnsi="Arial Narrow"/>
          <w:b/>
          <w:bCs/>
          <w:sz w:val="24"/>
          <w:szCs w:val="24"/>
        </w:rPr>
        <w:t>IV.</w:t>
      </w:r>
    </w:p>
    <w:p>
      <w:pPr>
        <w:pStyle w:val="Normal"/>
        <w:widowControl w:val="false"/>
        <w:spacing w:lineRule="auto" w:line="240" w:before="0" w:after="0"/>
        <w:jc w:val="center"/>
        <w:rPr>
          <w:rFonts w:ascii="Arial Narrow" w:hAnsi="Arial Narrow" w:cs="Arial"/>
          <w:b/>
          <w:b/>
          <w:bCs/>
          <w:sz w:val="24"/>
          <w:szCs w:val="24"/>
        </w:rPr>
      </w:pPr>
      <w:r>
        <w:rPr>
          <w:rFonts w:cs="Arial" w:ascii="Arial Narrow" w:hAnsi="Arial Narrow"/>
          <w:b/>
          <w:bCs/>
          <w:sz w:val="24"/>
          <w:szCs w:val="24"/>
        </w:rPr>
        <w:t xml:space="preserve">Závěrečná ustanovení </w:t>
      </w:r>
    </w:p>
    <w:p>
      <w:pPr>
        <w:pStyle w:val="Normal"/>
        <w:widowControl w:val="false"/>
        <w:spacing w:lineRule="auto" w:line="240" w:before="0" w:after="0"/>
        <w:rPr>
          <w:rFonts w:ascii="Arial Narrow" w:hAnsi="Arial Narrow" w:cs="Arial"/>
          <w:b/>
          <w:b/>
          <w:bCs/>
          <w:sz w:val="24"/>
          <w:szCs w:val="24"/>
        </w:rPr>
      </w:pPr>
      <w:r>
        <w:rPr>
          <w:rFonts w:cs="Arial" w:ascii="Arial Narrow" w:hAnsi="Arial Narrow"/>
          <w:b/>
          <w:bCs/>
          <w:sz w:val="24"/>
          <w:szCs w:val="24"/>
        </w:rPr>
      </w:r>
    </w:p>
    <w:p>
      <w:pPr>
        <w:pStyle w:val="ListParagraph"/>
        <w:widowControl w:val="false"/>
        <w:numPr>
          <w:ilvl w:val="0"/>
          <w:numId w:val="6"/>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 xml:space="preserve">Smluvní strany prohlašují, že si tuto smlouvu před jejím podpisem přečetly, že byla uzavřena po vzájemném projednání podle jejich pravé a svobodné vůle, určitě, vážně a srozumitelně, nikoliv v tísni a za nápadně nevýhodných podmínek. </w:t>
      </w:r>
    </w:p>
    <w:p>
      <w:pPr>
        <w:pStyle w:val="ListParagraph"/>
        <w:widowControl w:val="false"/>
        <w:spacing w:lineRule="auto" w:line="240" w:before="0" w:after="0"/>
        <w:ind w:left="426" w:hanging="0"/>
        <w:contextualSpacing/>
        <w:jc w:val="both"/>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6"/>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 xml:space="preserve">Změny a doplňky této smlouvy lze činit pouze písemně, číslovanými dodatky, podepsanými oběma smluvními stranami. </w:t>
      </w:r>
    </w:p>
    <w:p>
      <w:pPr>
        <w:pStyle w:val="ListParagraph"/>
        <w:widowControl w:val="false"/>
        <w:spacing w:lineRule="auto" w:line="240" w:before="0" w:after="0"/>
        <w:ind w:left="426" w:hanging="0"/>
        <w:contextualSpacing/>
        <w:jc w:val="both"/>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6"/>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 xml:space="preserve">Smlouva je sepsána ve třech vyhotoveních, z nichž po jednom obdrží každá smluvní strana, a dále jedno vyhotovení bude předáno s návrhem na vklad do katastru nemovitostí příslušnému katastrálnímu úřadu. </w:t>
      </w:r>
    </w:p>
    <w:p>
      <w:pPr>
        <w:pStyle w:val="ListParagraph"/>
        <w:widowControl w:val="false"/>
        <w:spacing w:lineRule="auto" w:line="240" w:before="0" w:after="0"/>
        <w:ind w:left="426" w:hanging="0"/>
        <w:contextualSpacing/>
        <w:jc w:val="both"/>
        <w:rPr>
          <w:rFonts w:ascii="Arial Narrow" w:hAnsi="Arial Narrow" w:cs="Arial"/>
          <w:sz w:val="24"/>
          <w:szCs w:val="24"/>
        </w:rPr>
      </w:pPr>
      <w:r>
        <w:rPr>
          <w:rFonts w:cs="Arial" w:ascii="Arial Narrow" w:hAnsi="Arial Narrow"/>
          <w:sz w:val="24"/>
          <w:szCs w:val="24"/>
        </w:rPr>
      </w:r>
    </w:p>
    <w:p>
      <w:pPr>
        <w:pStyle w:val="ListParagraph"/>
        <w:widowControl w:val="false"/>
        <w:numPr>
          <w:ilvl w:val="0"/>
          <w:numId w:val="6"/>
        </w:numPr>
        <w:spacing w:lineRule="auto" w:line="240" w:before="0" w:after="0"/>
        <w:ind w:left="426" w:hanging="360"/>
        <w:contextualSpacing/>
        <w:jc w:val="both"/>
        <w:rPr>
          <w:rFonts w:ascii="Arial Narrow" w:hAnsi="Arial Narrow" w:cs="Arial"/>
          <w:sz w:val="24"/>
          <w:szCs w:val="24"/>
        </w:rPr>
      </w:pPr>
      <w:r>
        <w:rPr>
          <w:rFonts w:cs="Arial" w:ascii="Arial Narrow" w:hAnsi="Arial Narrow"/>
          <w:sz w:val="24"/>
          <w:szCs w:val="24"/>
        </w:rPr>
        <w:t>Tato Smlouva byla schválena zastupitelstvem MČ Praha-Klánovice dne …… 2021 usnesením č. ..…./2021.</w:t>
      </w:r>
    </w:p>
    <w:p>
      <w:pPr>
        <w:pStyle w:val="Normal"/>
        <w:widowControl w:val="false"/>
        <w:spacing w:lineRule="auto" w:line="240" w:before="0" w:after="0"/>
        <w:jc w:val="both"/>
        <w:rPr>
          <w:rFonts w:ascii="Arial Narrow" w:hAnsi="Arial Narrow" w:cs="Arial"/>
          <w:sz w:val="24"/>
          <w:szCs w:val="24"/>
        </w:rPr>
      </w:pPr>
      <w:r>
        <w:rPr>
          <w:rFonts w:cs="Arial" w:ascii="Arial Narrow" w:hAnsi="Arial Narrow"/>
          <w:sz w:val="24"/>
          <w:szCs w:val="24"/>
        </w:rPr>
      </w:r>
    </w:p>
    <w:p>
      <w:pPr>
        <w:pStyle w:val="Normal"/>
        <w:widowControl w:val="false"/>
        <w:spacing w:lineRule="auto" w:line="240" w:before="0" w:after="0"/>
        <w:rPr>
          <w:rFonts w:ascii="Arial Narrow" w:hAnsi="Arial Narrow" w:cs="Arial"/>
          <w:sz w:val="24"/>
          <w:szCs w:val="24"/>
        </w:rPr>
      </w:pPr>
      <w:r>
        <w:rPr>
          <w:rFonts w:cs="Arial" w:ascii="Arial Narrow" w:hAnsi="Arial Narrow"/>
          <w:sz w:val="24"/>
          <w:szCs w:val="24"/>
        </w:rPr>
        <w:t>V Klánovicích dne ……………</w:t>
      </w:r>
    </w:p>
    <w:p>
      <w:pPr>
        <w:pStyle w:val="Normal"/>
        <w:widowControl w:val="false"/>
        <w:spacing w:lineRule="auto" w:line="240" w:before="0" w:after="0"/>
        <w:rPr>
          <w:rFonts w:ascii="Arial Narrow" w:hAnsi="Arial Narrow" w:cs="Arial"/>
          <w:sz w:val="24"/>
          <w:szCs w:val="24"/>
        </w:rPr>
      </w:pPr>
      <w:r>
        <w:rPr>
          <w:rFonts w:cs="Arial" w:ascii="Arial Narrow" w:hAnsi="Arial Narrow"/>
          <w:sz w:val="24"/>
          <w:szCs w:val="24"/>
        </w:rPr>
      </w:r>
    </w:p>
    <w:p>
      <w:pPr>
        <w:pStyle w:val="Normal"/>
        <w:widowControl w:val="false"/>
        <w:spacing w:lineRule="auto" w:line="240" w:before="0" w:after="0"/>
        <w:rPr>
          <w:rFonts w:ascii="Arial Narrow" w:hAnsi="Arial Narrow" w:cs="Arial"/>
          <w:sz w:val="24"/>
          <w:szCs w:val="24"/>
        </w:rPr>
      </w:pPr>
      <w:r>
        <w:rPr>
          <w:rFonts w:cs="Arial" w:ascii="Arial Narrow" w:hAnsi="Arial Narrow"/>
          <w:sz w:val="24"/>
          <w:szCs w:val="24"/>
        </w:rPr>
      </w:r>
    </w:p>
    <w:p>
      <w:pPr>
        <w:pStyle w:val="Normal"/>
        <w:widowControl w:val="false"/>
        <w:spacing w:lineRule="auto" w:line="240" w:before="0" w:after="0"/>
        <w:rPr>
          <w:rFonts w:ascii="Arial Narrow" w:hAnsi="Arial Narrow" w:cs="Arial"/>
          <w:sz w:val="24"/>
          <w:szCs w:val="24"/>
        </w:rPr>
      </w:pPr>
      <w:r>
        <w:rPr>
          <w:rFonts w:cs="Arial" w:ascii="Arial Narrow" w:hAnsi="Arial Narrow"/>
          <w:sz w:val="24"/>
          <w:szCs w:val="24"/>
        </w:rPr>
      </w:r>
    </w:p>
    <w:p>
      <w:pPr>
        <w:pStyle w:val="Normal"/>
        <w:widowControl w:val="false"/>
        <w:spacing w:lineRule="auto" w:line="240" w:before="0" w:after="0"/>
        <w:rPr>
          <w:rFonts w:ascii="Arial Narrow" w:hAnsi="Arial Narrow" w:cs="Arial"/>
          <w:sz w:val="24"/>
          <w:szCs w:val="24"/>
        </w:rPr>
      </w:pPr>
      <w:r>
        <w:rPr>
          <w:rFonts w:cs="Arial" w:ascii="Arial Narrow" w:hAnsi="Arial Narrow"/>
          <w:sz w:val="24"/>
          <w:szCs w:val="24"/>
        </w:rPr>
      </w:r>
    </w:p>
    <w:p>
      <w:pPr>
        <w:pStyle w:val="Normal"/>
        <w:widowControl w:val="false"/>
        <w:spacing w:lineRule="auto" w:line="240" w:before="0" w:after="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w:t>
        <w:tab/>
        <w:tab/>
        <w:tab/>
        <w:t>……………………………………………..</w:t>
      </w:r>
    </w:p>
    <w:p>
      <w:pPr>
        <w:pStyle w:val="Normal"/>
        <w:widowControl w:val="false"/>
        <w:tabs>
          <w:tab w:val="clear" w:pos="720"/>
          <w:tab w:val="left" w:pos="567" w:leader="none"/>
          <w:tab w:val="left" w:pos="6096" w:leader="none"/>
        </w:tabs>
        <w:spacing w:lineRule="auto" w:line="240" w:before="0" w:after="0"/>
        <w:rPr>
          <w:rFonts w:ascii="Arial Narrow" w:hAnsi="Arial Narrow" w:cs="Arial"/>
          <w:b/>
          <w:b/>
          <w:bCs/>
          <w:sz w:val="24"/>
          <w:szCs w:val="24"/>
        </w:rPr>
      </w:pPr>
      <w:r>
        <w:rPr>
          <w:rFonts w:cs="Arial" w:ascii="Arial Narrow" w:hAnsi="Arial Narrow"/>
          <w:b/>
          <w:bCs/>
          <w:sz w:val="24"/>
          <w:szCs w:val="24"/>
        </w:rPr>
        <w:tab/>
        <w:t>MČ Praha-Klánovice</w:t>
        <w:tab/>
      </w:r>
      <w:r>
        <w:rPr>
          <w:rFonts w:cs="Arial" w:ascii="Arial Narrow" w:hAnsi="Arial Narrow"/>
          <w:b/>
          <w:sz w:val="24"/>
          <w:szCs w:val="24"/>
        </w:rPr>
        <w:t>Alois Hejtich</w:t>
      </w:r>
      <w:r>
        <w:rPr>
          <w:rFonts w:cs="Arial" w:ascii="Arial Narrow" w:hAnsi="Arial Narrow"/>
          <w:sz w:val="24"/>
          <w:szCs w:val="24"/>
        </w:rPr>
        <w:t>,</w:t>
      </w:r>
    </w:p>
    <w:p>
      <w:pPr>
        <w:pStyle w:val="Normal"/>
        <w:widowControl w:val="false"/>
        <w:tabs>
          <w:tab w:val="clear" w:pos="720"/>
          <w:tab w:val="left" w:pos="851" w:leader="none"/>
          <w:tab w:val="left" w:pos="5954" w:leader="none"/>
        </w:tabs>
        <w:spacing w:lineRule="auto" w:line="240" w:before="0" w:after="0"/>
        <w:rPr>
          <w:rFonts w:ascii="Arial Narrow" w:hAnsi="Arial Narrow" w:cs="Arial"/>
          <w:sz w:val="24"/>
          <w:szCs w:val="24"/>
        </w:rPr>
      </w:pPr>
      <w:r>
        <w:rPr>
          <w:rFonts w:cs="Arial" w:ascii="Arial Narrow" w:hAnsi="Arial Narrow"/>
          <w:b/>
          <w:bCs/>
          <w:sz w:val="24"/>
          <w:szCs w:val="24"/>
        </w:rPr>
        <w:tab/>
      </w:r>
      <w:r>
        <w:rPr>
          <w:rFonts w:cs="Arial" w:ascii="Arial Narrow" w:hAnsi="Arial Narrow"/>
          <w:sz w:val="24"/>
          <w:szCs w:val="24"/>
        </w:rPr>
        <w:t>první směňující</w:t>
      </w:r>
      <w:r>
        <w:rPr>
          <w:rFonts w:cs="Arial" w:ascii="Arial Narrow" w:hAnsi="Arial Narrow"/>
          <w:b/>
          <w:bCs/>
          <w:sz w:val="24"/>
          <w:szCs w:val="24"/>
        </w:rPr>
        <w:tab/>
      </w:r>
      <w:r>
        <w:rPr>
          <w:rFonts w:cs="Arial" w:ascii="Arial Narrow" w:hAnsi="Arial Narrow"/>
          <w:sz w:val="24"/>
          <w:szCs w:val="24"/>
        </w:rPr>
        <w:t>druhý směňující</w:t>
        <w:tab/>
        <w:t xml:space="preserve"> </w:t>
      </w:r>
    </w:p>
    <w:sectPr>
      <w:type w:val="nextPage"/>
      <w:pgSz w:w="11906" w:h="16838"/>
      <w:pgMar w:left="1418" w:right="1418" w:header="0" w:top="851" w:footer="0" w:bottom="1276"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Arial Narrow">
    <w:charset w:val="01"/>
    <w:family w:val="roman"/>
    <w:pitch w:val="variable"/>
  </w:font>
  <w:font w:name="Arial Narrow">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szCs w:val="24"/>
        <w:rFonts w:ascii="Arial Narrow" w:hAnsi="Arial Narrow"/>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1080" w:hanging="360"/>
      </w:pPr>
      <w:rPr>
        <w:rFonts w:ascii="Arial Narrow" w:hAnsi="Arial Narrow" w:cs="Arial Narro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cs-CZ" w:eastAsia="cs-CZ"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uiPriority="10"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Balloon Text"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17ba"/>
    <w:pPr>
      <w:widowControl/>
      <w:suppressAutoHyphens w:val="true"/>
      <w:bidi w:val="0"/>
      <w:spacing w:lineRule="auto" w:line="276" w:before="0" w:after="200"/>
      <w:jc w:val="left"/>
    </w:pPr>
    <w:rPr>
      <w:rFonts w:ascii="Calibri" w:hAnsi="Calibri" w:eastAsia="" w:cs="Times New Roman" w:asciiTheme="minorHAnsi" w:eastAsiaTheme="minorEastAsia" w:hAnsiTheme="minorHAnsi"/>
      <w:color w:val="auto"/>
      <w:kern w:val="0"/>
      <w:sz w:val="22"/>
      <w:szCs w:val="22"/>
      <w:lang w:val="cs-CZ" w:eastAsia="zh-CN"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9a6633"/>
    <w:rPr>
      <w:sz w:val="16"/>
      <w:szCs w:val="16"/>
    </w:rPr>
  </w:style>
  <w:style w:type="character" w:styleId="TextkomenteChar" w:customStyle="1">
    <w:name w:val="Text komentáře Char"/>
    <w:basedOn w:val="DefaultParagraphFont"/>
    <w:link w:val="Textkomente"/>
    <w:uiPriority w:val="99"/>
    <w:semiHidden/>
    <w:qFormat/>
    <w:rsid w:val="009a6633"/>
    <w:rPr>
      <w:sz w:val="20"/>
      <w:szCs w:val="20"/>
      <w:lang w:eastAsia="zh-CN"/>
    </w:rPr>
  </w:style>
  <w:style w:type="character" w:styleId="PedmtkomenteChar" w:customStyle="1">
    <w:name w:val="Předmět komentáře Char"/>
    <w:basedOn w:val="TextkomenteChar"/>
    <w:link w:val="Pedmtkomente"/>
    <w:uiPriority w:val="99"/>
    <w:semiHidden/>
    <w:qFormat/>
    <w:rsid w:val="009a6633"/>
    <w:rPr>
      <w:b/>
      <w:bCs/>
      <w:sz w:val="20"/>
      <w:szCs w:val="20"/>
      <w:lang w:eastAsia="zh-CN"/>
    </w:rPr>
  </w:style>
  <w:style w:type="character" w:styleId="TextbublinyChar" w:customStyle="1">
    <w:name w:val="Text bubliny Char"/>
    <w:basedOn w:val="DefaultParagraphFont"/>
    <w:link w:val="Textbubliny"/>
    <w:uiPriority w:val="99"/>
    <w:qFormat/>
    <w:rsid w:val="009a6633"/>
    <w:rPr>
      <w:rFonts w:ascii="Segoe UI" w:hAnsi="Segoe UI" w:cs="Segoe UI"/>
      <w:sz w:val="18"/>
      <w:szCs w:val="18"/>
      <w:lang w:eastAsia="zh-C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c45a4c"/>
    <w:pPr>
      <w:spacing w:before="0" w:after="200"/>
      <w:ind w:left="720" w:hanging="0"/>
      <w:contextualSpacing/>
    </w:pPr>
    <w:rPr/>
  </w:style>
  <w:style w:type="paragraph" w:styleId="NoSpacing">
    <w:name w:val="No Spacing"/>
    <w:uiPriority w:val="1"/>
    <w:qFormat/>
    <w:rsid w:val="008253d8"/>
    <w:pPr>
      <w:widowControl/>
      <w:suppressAutoHyphens w:val="true"/>
      <w:bidi w:val="0"/>
      <w:spacing w:lineRule="auto" w:line="240" w:before="0" w:after="0"/>
      <w:jc w:val="left"/>
    </w:pPr>
    <w:rPr>
      <w:rFonts w:ascii="Calibri" w:hAnsi="Calibri" w:eastAsia="" w:cs="Times New Roman" w:asciiTheme="minorHAnsi" w:eastAsiaTheme="minorEastAsia" w:hAnsiTheme="minorHAnsi"/>
      <w:color w:val="auto"/>
      <w:kern w:val="0"/>
      <w:sz w:val="22"/>
      <w:szCs w:val="22"/>
      <w:lang w:val="cs-CZ" w:eastAsia="zh-CN" w:bidi="ar-SA"/>
    </w:rPr>
  </w:style>
  <w:style w:type="paragraph" w:styleId="Annotationtext">
    <w:name w:val="annotation text"/>
    <w:basedOn w:val="Normal"/>
    <w:link w:val="TextkomenteChar"/>
    <w:uiPriority w:val="99"/>
    <w:semiHidden/>
    <w:unhideWhenUsed/>
    <w:qFormat/>
    <w:rsid w:val="009a6633"/>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9a6633"/>
    <w:pPr/>
    <w:rPr>
      <w:b/>
      <w:bCs/>
    </w:rPr>
  </w:style>
  <w:style w:type="paragraph" w:styleId="BalloonText">
    <w:name w:val="Balloon Text"/>
    <w:basedOn w:val="Normal"/>
    <w:link w:val="TextbublinyChar"/>
    <w:uiPriority w:val="99"/>
    <w:qFormat/>
    <w:rsid w:val="009a663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LibreOffice/7.1.0.3$MacOSX_X86_64 LibreOffice_project/f6099ecf3d29644b5008cc8f48f42f4a40986e4c</Application>
  <AppVersion>15.0000</AppVersion>
  <Pages>3</Pages>
  <Words>1098</Words>
  <Characters>5997</Characters>
  <CharactersWithSpaces>7081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2021-02-16T09:37:00Z</dcterms:created>
  <dc:creator/>
  <dc:description/>
  <dc:language>cs-CZ</dc:language>
  <cp:lastModifiedBy/>
  <dcterms:modified xsi:type="dcterms:W3CDTF">2021-06-08T19:08:53Z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