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Arial Narrow" w:hAnsi="Arial Narrow" w:cs="Arial"/>
          <w:b/>
          <w:b/>
          <w:sz w:val="24"/>
          <w:szCs w:val="24"/>
        </w:rPr>
      </w:pPr>
      <w:r>
        <w:rPr>
          <w:rFonts w:cs="Arial" w:ascii="Arial Narrow" w:hAnsi="Arial Narrow"/>
          <w:b/>
          <w:sz w:val="24"/>
          <w:szCs w:val="24"/>
        </w:rPr>
      </w:r>
    </w:p>
    <w:p>
      <w:pPr>
        <w:pStyle w:val="Normal"/>
        <w:widowControl w:val="false"/>
        <w:spacing w:lineRule="auto" w:line="240" w:before="0" w:after="0"/>
        <w:rPr>
          <w:rFonts w:ascii="Arial Narrow" w:hAnsi="Arial Narrow" w:cs="Arial"/>
          <w:sz w:val="24"/>
          <w:szCs w:val="24"/>
        </w:rPr>
      </w:pPr>
      <w:r>
        <w:rPr>
          <w:rFonts w:cs="Arial" w:ascii="Arial Narrow" w:hAnsi="Arial Narrow"/>
          <w:b/>
          <w:sz w:val="24"/>
          <w:szCs w:val="24"/>
        </w:rPr>
        <w:t>Alois Hejtich</w:t>
      </w:r>
      <w:r>
        <w:rPr>
          <w:rFonts w:cs="Arial" w:ascii="Arial Narrow" w:hAnsi="Arial Narrow"/>
          <w:sz w:val="24"/>
          <w:szCs w:val="24"/>
        </w:rPr>
        <w:t>, nar. 26. 10. 1954</w:t>
      </w:r>
    </w:p>
    <w:p>
      <w:pPr>
        <w:pStyle w:val="Normal"/>
        <w:widowControl w:val="false"/>
        <w:spacing w:lineRule="auto" w:line="240" w:before="0" w:after="0"/>
        <w:rPr>
          <w:rFonts w:ascii="Arial Narrow" w:hAnsi="Arial Narrow" w:cs="Arial"/>
          <w:sz w:val="24"/>
          <w:szCs w:val="24"/>
        </w:rPr>
      </w:pPr>
      <w:r>
        <w:rPr>
          <w:rFonts w:cs="Arial" w:ascii="Arial Narrow" w:hAnsi="Arial Narrow"/>
          <w:sz w:val="24"/>
          <w:szCs w:val="24"/>
        </w:rPr>
        <w:t>bytem Slavětínská 2,190 14  Praha-Klánovice</w:t>
      </w:r>
    </w:p>
    <w:p>
      <w:pPr>
        <w:pStyle w:val="Standard"/>
        <w:tabs>
          <w:tab w:val="clear" w:pos="708"/>
          <w:tab w:val="left" w:pos="3644" w:leader="none"/>
        </w:tabs>
        <w:rPr>
          <w:rFonts w:ascii="Arial Narrow" w:hAnsi="Arial Narrow"/>
          <w:bCs/>
          <w:iCs/>
        </w:rPr>
      </w:pPr>
      <w:r>
        <w:rPr>
          <w:rFonts w:ascii="Arial Narrow" w:hAnsi="Arial Narrow"/>
          <w:bCs/>
          <w:iCs/>
        </w:rPr>
      </w:r>
    </w:p>
    <w:p>
      <w:pPr>
        <w:pStyle w:val="Standard"/>
        <w:tabs>
          <w:tab w:val="clear" w:pos="708"/>
          <w:tab w:val="left" w:pos="3644" w:leader="none"/>
        </w:tabs>
        <w:rPr>
          <w:rFonts w:ascii="Arial Narrow" w:hAnsi="Arial Narrow"/>
        </w:rPr>
      </w:pPr>
      <w:r>
        <w:rPr>
          <w:rFonts w:ascii="Arial Narrow" w:hAnsi="Arial Narrow"/>
          <w:bCs/>
          <w:iCs/>
        </w:rPr>
        <w:t>(dále jen „</w:t>
      </w:r>
      <w:r>
        <w:rPr>
          <w:rFonts w:ascii="Arial Narrow" w:hAnsi="Arial Narrow"/>
          <w:b/>
          <w:bCs/>
          <w:iCs/>
        </w:rPr>
        <w:t>Vlastník</w:t>
      </w:r>
      <w:r>
        <w:rPr>
          <w:rFonts w:ascii="Arial Narrow" w:hAnsi="Arial Narrow"/>
          <w:bCs/>
          <w:iCs/>
        </w:rPr>
        <w:t>“) na straně jedné</w:t>
      </w:r>
    </w:p>
    <w:p>
      <w:pPr>
        <w:pStyle w:val="NormalWeb"/>
        <w:shd w:val="clear" w:color="auto" w:fill="FFFFFF"/>
        <w:spacing w:beforeAutospacing="0" w:before="280" w:afterAutospacing="0" w:after="0"/>
        <w:textAlignment w:val="baseline"/>
        <w:rPr>
          <w:rFonts w:ascii="Arial Narrow" w:hAnsi="Arial Narrow"/>
        </w:rPr>
      </w:pPr>
      <w:r>
        <w:rPr>
          <w:rFonts w:cs="Arial" w:ascii="Arial Narrow" w:hAnsi="Arial Narrow"/>
        </w:rPr>
        <w:t xml:space="preserve">a </w:t>
      </w:r>
    </w:p>
    <w:p>
      <w:pPr>
        <w:pStyle w:val="Normal"/>
        <w:keepNext w:val="true"/>
        <w:spacing w:lineRule="auto" w:line="240" w:before="0" w:after="0"/>
        <w:rPr>
          <w:rStyle w:val="Preformatted"/>
          <w:rFonts w:ascii="Arial Narrow" w:hAnsi="Arial Narrow" w:cs="Calibri"/>
          <w:b/>
          <w:b/>
          <w:bCs/>
          <w:sz w:val="24"/>
          <w:szCs w:val="24"/>
        </w:rPr>
      </w:pPr>
      <w:r>
        <w:rPr>
          <w:rFonts w:cs="Calibri" w:ascii="Arial Narrow" w:hAnsi="Arial Narrow"/>
          <w:b/>
          <w:bCs/>
          <w:sz w:val="24"/>
          <w:szCs w:val="24"/>
        </w:rPr>
      </w:r>
    </w:p>
    <w:p>
      <w:pPr>
        <w:pStyle w:val="NoSpacing"/>
        <w:rPr>
          <w:rFonts w:ascii="Arial Narrow" w:hAnsi="Arial Narrow" w:eastAsia="Times New Roman"/>
          <w:sz w:val="24"/>
          <w:szCs w:val="24"/>
        </w:rPr>
      </w:pPr>
      <w:r>
        <w:rPr>
          <w:rFonts w:ascii="Arial Narrow" w:hAnsi="Arial Narrow"/>
          <w:b/>
          <w:sz w:val="24"/>
          <w:szCs w:val="24"/>
        </w:rPr>
        <w:t>Městská část Praha-Klánovice</w:t>
      </w:r>
      <w:r>
        <w:rPr>
          <w:rFonts w:ascii="Arial Narrow" w:hAnsi="Arial Narrow"/>
          <w:sz w:val="24"/>
          <w:szCs w:val="24"/>
        </w:rPr>
        <w:t>, IČO: 002 40 281</w:t>
      </w:r>
      <w:r>
        <w:rPr>
          <w:rFonts w:eastAsia="Times New Roman" w:ascii="Arial Narrow" w:hAnsi="Arial Narrow"/>
          <w:sz w:val="24"/>
          <w:szCs w:val="24"/>
        </w:rPr>
        <w:br/>
      </w:r>
      <w:r>
        <w:rPr>
          <w:rFonts w:ascii="Arial Narrow" w:hAnsi="Arial Narrow"/>
          <w:sz w:val="24"/>
          <w:szCs w:val="24"/>
        </w:rPr>
        <w:t>se sídlem U Besedy 300/8, 190 14  Praha-Klánovice</w:t>
      </w:r>
    </w:p>
    <w:p>
      <w:pPr>
        <w:pStyle w:val="NoSpacing"/>
        <w:rPr>
          <w:rFonts w:ascii="Arial Narrow" w:hAnsi="Arial Narrow" w:eastAsia="Times New Roman"/>
          <w:sz w:val="24"/>
          <w:szCs w:val="24"/>
        </w:rPr>
      </w:pPr>
      <w:r>
        <w:rPr>
          <w:rFonts w:ascii="Arial Narrow" w:hAnsi="Arial Narrow"/>
          <w:sz w:val="24"/>
          <w:szCs w:val="24"/>
        </w:rPr>
        <w:t>zastoupena Mgr. Zorkou Starčevičovou, starostkou</w:t>
      </w:r>
      <w:r>
        <w:rPr>
          <w:rStyle w:val="Nowrap"/>
          <w:rFonts w:cs="Calibri" w:ascii="Arial Narrow" w:hAnsi="Arial Narrow"/>
          <w:sz w:val="24"/>
          <w:szCs w:val="24"/>
        </w:rPr>
        <w:br/>
      </w:r>
    </w:p>
    <w:p>
      <w:pPr>
        <w:pStyle w:val="Standard"/>
        <w:rPr>
          <w:rFonts w:ascii="Arial Narrow" w:hAnsi="Arial Narrow"/>
          <w:iCs/>
        </w:rPr>
      </w:pPr>
      <w:r>
        <w:rPr>
          <w:rFonts w:ascii="Arial Narrow" w:hAnsi="Arial Narrow"/>
        </w:rPr>
        <w:t>(</w:t>
      </w:r>
      <w:r>
        <w:rPr>
          <w:rFonts w:ascii="Arial Narrow" w:hAnsi="Arial Narrow"/>
          <w:bCs/>
          <w:iCs/>
        </w:rPr>
        <w:t>dále jen „</w:t>
      </w:r>
      <w:r>
        <w:rPr>
          <w:rFonts w:ascii="Arial Narrow" w:hAnsi="Arial Narrow"/>
          <w:b/>
          <w:bCs/>
          <w:iCs/>
        </w:rPr>
        <w:t>Oprávněný</w:t>
      </w:r>
      <w:r>
        <w:rPr>
          <w:rFonts w:ascii="Arial Narrow" w:hAnsi="Arial Narrow"/>
          <w:bCs/>
          <w:iCs/>
        </w:rPr>
        <w:t xml:space="preserve">“) </w:t>
      </w:r>
      <w:r>
        <w:rPr>
          <w:rFonts w:ascii="Arial Narrow" w:hAnsi="Arial Narrow"/>
          <w:iCs/>
        </w:rPr>
        <w:t>na straně druhé</w:t>
      </w:r>
    </w:p>
    <w:p>
      <w:pPr>
        <w:pStyle w:val="NormalWeb"/>
        <w:shd w:val="clear" w:color="auto" w:fill="FFFFFF"/>
        <w:spacing w:beforeAutospacing="0" w:before="280" w:afterAutospacing="0" w:after="0"/>
        <w:textAlignment w:val="baseline"/>
        <w:rPr>
          <w:rStyle w:val="Strong"/>
          <w:rFonts w:ascii="Arial Narrow" w:hAnsi="Arial Narrow" w:cs="Arial"/>
          <w:b w:val="false"/>
          <w:b w:val="false"/>
        </w:rPr>
      </w:pPr>
      <w:r>
        <w:rPr>
          <w:rStyle w:val="Strong"/>
          <w:rFonts w:cs="Arial" w:ascii="Arial Narrow" w:hAnsi="Arial Narrow"/>
          <w:b w:val="false"/>
        </w:rPr>
        <w:t>uzavírají níže uvedeného dne, měsíce a roku tuto</w:t>
      </w:r>
    </w:p>
    <w:p>
      <w:pPr>
        <w:pStyle w:val="NormalWeb"/>
        <w:shd w:val="clear" w:color="auto" w:fill="FFFFFF"/>
        <w:spacing w:beforeAutospacing="0" w:before="280" w:afterAutospacing="0" w:after="0"/>
        <w:jc w:val="center"/>
        <w:textAlignment w:val="baseline"/>
        <w:rPr>
          <w:rStyle w:val="Strong"/>
          <w:rFonts w:ascii="Arial Narrow" w:hAnsi="Arial Narrow" w:cs="Arial"/>
        </w:rPr>
      </w:pPr>
      <w:r>
        <w:rPr>
          <w:rFonts w:cs="Arial" w:ascii="Arial Narrow" w:hAnsi="Arial Narrow"/>
        </w:rPr>
      </w:r>
    </w:p>
    <w:p>
      <w:pPr>
        <w:pStyle w:val="NormalWeb"/>
        <w:shd w:val="clear" w:color="auto" w:fill="FFFFFF"/>
        <w:spacing w:beforeAutospacing="0" w:before="280" w:afterAutospacing="0" w:after="0"/>
        <w:jc w:val="center"/>
        <w:textAlignment w:val="baseline"/>
        <w:rPr>
          <w:rFonts w:ascii="Arial Narrow" w:hAnsi="Arial Narrow" w:cs="Arial"/>
          <w:sz w:val="36"/>
          <w:szCs w:val="36"/>
        </w:rPr>
      </w:pPr>
      <w:r>
        <w:rPr>
          <w:rStyle w:val="Strong"/>
          <w:rFonts w:cs="Arial" w:ascii="Arial Narrow" w:hAnsi="Arial Narrow"/>
          <w:sz w:val="36"/>
          <w:szCs w:val="36"/>
        </w:rPr>
        <w:t>SMLOUVU O ZŘÍZENÍ PŘEDKUPNÍHO PRÁVA</w:t>
      </w:r>
    </w:p>
    <w:p>
      <w:pPr>
        <w:pStyle w:val="NormalWeb"/>
        <w:shd w:val="clear" w:color="auto" w:fill="FFFFFF"/>
        <w:spacing w:beforeAutospacing="0" w:before="280" w:afterAutospacing="0" w:after="0"/>
        <w:jc w:val="center"/>
        <w:textAlignment w:val="baseline"/>
        <w:rPr>
          <w:sz w:val="22"/>
          <w:szCs w:val="22"/>
        </w:rPr>
      </w:pPr>
      <w:r>
        <w:rPr>
          <w:rFonts w:cs="Arial" w:ascii="Arial Narrow" w:hAnsi="Arial Narrow"/>
          <w:sz w:val="22"/>
          <w:szCs w:val="22"/>
        </w:rPr>
        <w:t xml:space="preserve">(dále jen </w:t>
      </w:r>
      <w:r>
        <w:rPr>
          <w:rFonts w:cs="Arial" w:ascii="Arial Narrow" w:hAnsi="Arial Narrow"/>
          <w:i/>
          <w:sz w:val="22"/>
          <w:szCs w:val="22"/>
        </w:rPr>
        <w:t>„Smlouva“</w:t>
      </w:r>
      <w:r>
        <w:rPr>
          <w:rFonts w:cs="Arial" w:ascii="Arial Narrow" w:hAnsi="Arial Narrow"/>
          <w:sz w:val="22"/>
          <w:szCs w:val="22"/>
        </w:rPr>
        <w:t>)</w:t>
      </w:r>
    </w:p>
    <w:p>
      <w:pPr>
        <w:pStyle w:val="NormalWeb"/>
        <w:shd w:val="clear" w:color="auto" w:fill="FFFFFF"/>
        <w:spacing w:beforeAutospacing="0" w:before="280" w:afterAutospacing="0" w:after="0"/>
        <w:jc w:val="center"/>
        <w:textAlignment w:val="baseline"/>
        <w:rPr/>
      </w:pPr>
      <w:r>
        <w:rPr>
          <w:rStyle w:val="Strong"/>
          <w:rFonts w:cs="Arial" w:ascii="Arial Narrow" w:hAnsi="Arial Narrow"/>
          <w:sz w:val="22"/>
          <w:szCs w:val="22"/>
        </w:rPr>
        <w:t>1. Úvodní prohlášení</w:t>
      </w:r>
    </w:p>
    <w:p>
      <w:pPr>
        <w:pStyle w:val="ListParagraph"/>
        <w:widowControl w:val="false"/>
        <w:spacing w:lineRule="auto" w:line="240" w:before="0" w:after="0"/>
        <w:ind w:left="426" w:hanging="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0"/>
          <w:numId w:val="3"/>
        </w:numPr>
        <w:spacing w:lineRule="auto" w:line="240" w:before="0" w:after="0"/>
        <w:ind w:left="426" w:hanging="360"/>
        <w:contextualSpacing/>
        <w:jc w:val="both"/>
        <w:rPr>
          <w:sz w:val="22"/>
          <w:szCs w:val="22"/>
        </w:rPr>
      </w:pPr>
      <w:r>
        <w:rPr>
          <w:rFonts w:cs="Arial" w:ascii="Arial Narrow" w:hAnsi="Arial Narrow"/>
          <w:sz w:val="22"/>
          <w:szCs w:val="22"/>
        </w:rPr>
        <w:t>Hlavní město Praha je výlučným vlastníkem pozemku parc. č. 909 – ostatní plocha, o výměře 1782 m</w:t>
      </w:r>
      <w:r>
        <w:rPr>
          <w:rFonts w:cs="Arial" w:ascii="Arial Narrow" w:hAnsi="Arial Narrow"/>
          <w:sz w:val="22"/>
          <w:szCs w:val="22"/>
          <w:vertAlign w:val="superscript"/>
        </w:rPr>
        <w:t>2</w:t>
      </w:r>
      <w:r>
        <w:rPr>
          <w:rFonts w:cs="Arial" w:ascii="Arial Narrow" w:hAnsi="Arial Narrow"/>
          <w:sz w:val="22"/>
          <w:szCs w:val="22"/>
        </w:rPr>
        <w:t xml:space="preserve"> a pozemku parcelní číslo 1246 – ostatní plocha, o výměře 1171 m</w:t>
      </w:r>
      <w:r>
        <w:rPr>
          <w:rFonts w:cs="Arial" w:ascii="Arial Narrow" w:hAnsi="Arial Narrow"/>
          <w:sz w:val="22"/>
          <w:szCs w:val="22"/>
          <w:vertAlign w:val="superscript"/>
        </w:rPr>
        <w:t>2</w:t>
      </w:r>
      <w:r>
        <w:rPr>
          <w:rFonts w:cs="Arial" w:ascii="Arial Narrow" w:hAnsi="Arial Narrow"/>
          <w:sz w:val="22"/>
          <w:szCs w:val="22"/>
        </w:rPr>
        <w:t xml:space="preserve"> zapsaných u Katastrálního úřadu pro Hlavní město Prahu, Katastrální pracoviště Praha, na listu vlastnictví č. 914, katastrální území Klánovice.</w:t>
      </w:r>
    </w:p>
    <w:p>
      <w:pPr>
        <w:pStyle w:val="ListParagraph"/>
        <w:widowControl w:val="false"/>
        <w:spacing w:lineRule="auto" w:line="240" w:before="0" w:after="0"/>
        <w:ind w:left="426" w:hanging="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0"/>
          <w:numId w:val="3"/>
        </w:numPr>
        <w:spacing w:lineRule="auto" w:line="240" w:before="0" w:after="0"/>
        <w:ind w:left="426" w:hanging="360"/>
        <w:contextualSpacing/>
        <w:jc w:val="both"/>
        <w:rPr>
          <w:sz w:val="22"/>
          <w:szCs w:val="22"/>
        </w:rPr>
      </w:pPr>
      <w:r>
        <w:rPr>
          <w:rFonts w:ascii="Arial Narrow" w:hAnsi="Arial Narrow"/>
          <w:sz w:val="22"/>
          <w:szCs w:val="22"/>
        </w:rPr>
        <w:t>Oprávněnému jsou v souladu s § 19 odst. 1 zákona č. 131/2000 Sb., o hlavním městě Praze, ve znění pozdějších předpisů, a vyhlášky hl. m. Prahy č. 55/2000 Sb. HMP, kterou se vydává Statut hlavního města Prahy, ve znění pozdějších předpisů, svěřeny do správy pozemky uvedené v bodě 1. tohoto článku.</w:t>
      </w:r>
    </w:p>
    <w:p>
      <w:pPr>
        <w:pStyle w:val="ListParagraph"/>
        <w:widowControl w:val="false"/>
        <w:spacing w:lineRule="auto" w:line="240" w:before="0" w:after="0"/>
        <w:ind w:left="426" w:hanging="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0"/>
          <w:numId w:val="3"/>
        </w:numPr>
        <w:spacing w:lineRule="auto" w:line="240" w:before="0" w:after="0"/>
        <w:ind w:left="426" w:hanging="360"/>
        <w:contextualSpacing/>
        <w:jc w:val="both"/>
        <w:rPr>
          <w:sz w:val="22"/>
          <w:szCs w:val="22"/>
        </w:rPr>
      </w:pPr>
      <w:r>
        <w:rPr>
          <w:rFonts w:cs="Arial" w:ascii="Arial Narrow" w:hAnsi="Arial Narrow"/>
          <w:sz w:val="22"/>
          <w:szCs w:val="22"/>
        </w:rPr>
        <w:t>Vlastník prohlašuje, že je výlučným vlastníkem pozemku parc. č. 908/1 – ostatní plocha, o výměře 3872 m</w:t>
      </w:r>
      <w:r>
        <w:rPr>
          <w:rFonts w:cs="Arial" w:ascii="Arial Narrow" w:hAnsi="Arial Narrow"/>
          <w:sz w:val="22"/>
          <w:szCs w:val="22"/>
          <w:vertAlign w:val="superscript"/>
        </w:rPr>
        <w:t>2</w:t>
      </w:r>
      <w:r>
        <w:rPr>
          <w:rFonts w:cs="Arial" w:ascii="Arial Narrow" w:hAnsi="Arial Narrow"/>
          <w:sz w:val="22"/>
          <w:szCs w:val="22"/>
        </w:rPr>
        <w:t xml:space="preserve">, zapsaného u Katastrálního úřadu pro Hlavní město Prahu, Katastrální pracoviště Praha, na listu vlastnictví č. 390, katastrální území Klánovice. </w:t>
      </w:r>
    </w:p>
    <w:p>
      <w:pPr>
        <w:pStyle w:val="ListParagraph"/>
        <w:widowControl w:val="false"/>
        <w:spacing w:lineRule="auto" w:line="240" w:before="0" w:after="0"/>
        <w:ind w:left="426" w:hanging="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0"/>
          <w:numId w:val="3"/>
        </w:numPr>
        <w:spacing w:lineRule="auto" w:line="240" w:before="0" w:after="0"/>
        <w:ind w:left="426" w:hanging="360"/>
        <w:contextualSpacing/>
        <w:jc w:val="both"/>
        <w:rPr>
          <w:sz w:val="22"/>
          <w:szCs w:val="22"/>
        </w:rPr>
      </w:pPr>
      <w:r>
        <w:rPr>
          <w:rFonts w:cs="Arial" w:ascii="Arial Narrow" w:hAnsi="Arial Narrow"/>
          <w:sz w:val="22"/>
          <w:szCs w:val="22"/>
        </w:rPr>
        <w:t>Smluvní strany uzavřely dne 29. 6. 2020 Memorandum o porozumění a společném postupu, kde se stanovily podmínky společného postupu, který se týká mimo jiné i směny pozemků.</w:t>
      </w:r>
    </w:p>
    <w:p>
      <w:pPr>
        <w:pStyle w:val="ListParagraph"/>
        <w:widowControl w:val="false"/>
        <w:spacing w:lineRule="auto" w:line="240" w:before="0" w:after="0"/>
        <w:ind w:left="426" w:hanging="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0"/>
          <w:numId w:val="3"/>
        </w:numPr>
        <w:spacing w:lineRule="auto" w:line="240" w:before="0" w:after="0"/>
        <w:ind w:left="426" w:hanging="360"/>
        <w:contextualSpacing/>
        <w:jc w:val="both"/>
        <w:rPr>
          <w:sz w:val="22"/>
          <w:szCs w:val="22"/>
        </w:rPr>
      </w:pPr>
      <w:r>
        <w:rPr>
          <w:rFonts w:cs="Arial" w:ascii="Arial Narrow" w:hAnsi="Arial Narrow"/>
          <w:sz w:val="22"/>
          <w:szCs w:val="22"/>
        </w:rPr>
        <w:t xml:space="preserve">Na základě tohoto Memoranda byl dne 23. 7. 2020 zpracován panem Ing. Michalem Novákem Geometrický plán č. 2091-129/2020 (Příloha 1), na jehož základě dojde k rozdělení výše uvedených pozemků, a kterým vznikly mj. pozemky č. parc. 909/3, 909/4, 909/5 a 1246/5. </w:t>
      </w:r>
    </w:p>
    <w:p>
      <w:pPr>
        <w:pStyle w:val="Normal"/>
        <w:widowControl w:val="false"/>
        <w:spacing w:lineRule="auto" w:line="240" w:before="0" w:after="0"/>
        <w:jc w:val="both"/>
        <w:rPr>
          <w:rFonts w:ascii="Arial Narrow" w:hAnsi="Arial Narrow" w:cs="Arial"/>
          <w:sz w:val="22"/>
          <w:szCs w:val="22"/>
        </w:rPr>
      </w:pPr>
      <w:r>
        <w:rPr>
          <w:rFonts w:cs="Arial" w:ascii="Arial Narrow" w:hAnsi="Arial Narrow"/>
          <w:sz w:val="22"/>
          <w:szCs w:val="22"/>
        </w:rPr>
      </w:r>
    </w:p>
    <w:p>
      <w:pPr>
        <w:pStyle w:val="Normal"/>
        <w:widowControl w:val="false"/>
        <w:spacing w:lineRule="auto" w:line="240" w:before="0" w:after="0"/>
        <w:ind w:left="426" w:hanging="0"/>
        <w:jc w:val="both"/>
        <w:rPr>
          <w:sz w:val="22"/>
          <w:szCs w:val="22"/>
        </w:rPr>
      </w:pPr>
      <w:r>
        <w:rPr>
          <w:rFonts w:cs="Arial" w:ascii="Arial Narrow" w:hAnsi="Arial Narrow"/>
          <w:sz w:val="22"/>
          <w:szCs w:val="22"/>
        </w:rPr>
        <w:t>Tento GP byl předběžně schválen zastupitelstvem MČ dne 28. 1. 2021 usnesením č. 172/2021.</w:t>
      </w:r>
    </w:p>
    <w:p>
      <w:pPr>
        <w:pStyle w:val="Normal"/>
        <w:spacing w:lineRule="auto" w:line="240" w:before="0" w:after="0"/>
        <w:rPr>
          <w:rFonts w:ascii="Arial Narrow" w:hAnsi="Arial Narrow" w:cs="Arial"/>
          <w:sz w:val="22"/>
          <w:szCs w:val="22"/>
        </w:rPr>
      </w:pPr>
      <w:r>
        <w:rPr>
          <w:rFonts w:cs="Arial" w:ascii="Arial Narrow" w:hAnsi="Arial Narrow"/>
          <w:sz w:val="22"/>
          <w:szCs w:val="22"/>
        </w:rPr>
      </w:r>
      <w:r>
        <w:br w:type="page"/>
      </w:r>
    </w:p>
    <w:p>
      <w:pPr>
        <w:pStyle w:val="ListParagraph"/>
        <w:widowControl w:val="false"/>
        <w:numPr>
          <w:ilvl w:val="0"/>
          <w:numId w:val="3"/>
        </w:numPr>
        <w:spacing w:lineRule="auto" w:line="240" w:before="0" w:after="0"/>
        <w:ind w:left="426" w:hanging="360"/>
        <w:contextualSpacing/>
        <w:jc w:val="both"/>
        <w:rPr>
          <w:sz w:val="22"/>
          <w:szCs w:val="22"/>
        </w:rPr>
      </w:pPr>
      <w:r>
        <w:rPr>
          <w:rFonts w:cs="Arial" w:ascii="Arial Narrow" w:hAnsi="Arial Narrow"/>
          <w:sz w:val="22"/>
          <w:szCs w:val="22"/>
        </w:rPr>
        <w:t>Dne … byla uzavřena Směnná smlouva, ve které se výlučným vlastníkem následujících pozemků dle výše uvedeného geometrického plánu, tj.:</w:t>
      </w:r>
    </w:p>
    <w:p>
      <w:pPr>
        <w:pStyle w:val="ListParagraph"/>
        <w:widowControl w:val="false"/>
        <w:spacing w:lineRule="auto" w:line="240" w:before="0" w:after="0"/>
        <w:ind w:left="1080" w:hanging="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0"/>
          <w:numId w:val="1"/>
        </w:numPr>
        <w:spacing w:lineRule="auto" w:line="240" w:before="0" w:after="0"/>
        <w:contextualSpacing/>
        <w:jc w:val="both"/>
        <w:rPr>
          <w:sz w:val="22"/>
          <w:szCs w:val="22"/>
        </w:rPr>
      </w:pPr>
      <w:r>
        <w:rPr>
          <w:rFonts w:cs="Arial" w:ascii="Arial Narrow" w:hAnsi="Arial Narrow"/>
          <w:sz w:val="22"/>
          <w:szCs w:val="22"/>
        </w:rPr>
        <w:t xml:space="preserve">parc. č. 909/2 </w:t>
        <w:tab/>
        <w:t>o výměře   13 m</w:t>
      </w:r>
      <w:r>
        <w:rPr>
          <w:rFonts w:cs="Arial" w:ascii="Arial Narrow" w:hAnsi="Arial Narrow"/>
          <w:sz w:val="22"/>
          <w:szCs w:val="22"/>
          <w:vertAlign w:val="superscript"/>
        </w:rPr>
        <w:t>2</w:t>
      </w:r>
      <w:r>
        <w:rPr>
          <w:rFonts w:cs="Arial" w:ascii="Arial Narrow" w:hAnsi="Arial Narrow"/>
          <w:sz w:val="22"/>
          <w:szCs w:val="22"/>
        </w:rPr>
        <w:t>,</w:t>
      </w:r>
    </w:p>
    <w:p>
      <w:pPr>
        <w:pStyle w:val="ListParagraph"/>
        <w:widowControl w:val="false"/>
        <w:numPr>
          <w:ilvl w:val="0"/>
          <w:numId w:val="1"/>
        </w:numPr>
        <w:spacing w:lineRule="auto" w:line="240" w:before="0" w:after="0"/>
        <w:contextualSpacing/>
        <w:jc w:val="both"/>
        <w:rPr>
          <w:sz w:val="22"/>
          <w:szCs w:val="22"/>
        </w:rPr>
      </w:pPr>
      <w:r>
        <w:rPr>
          <w:rFonts w:cs="Arial" w:ascii="Arial Narrow" w:hAnsi="Arial Narrow"/>
          <w:sz w:val="22"/>
          <w:szCs w:val="22"/>
        </w:rPr>
        <w:t xml:space="preserve">parc. č. 909/3 </w:t>
        <w:tab/>
        <w:t>o výměře  129 m</w:t>
      </w:r>
      <w:r>
        <w:rPr>
          <w:rFonts w:cs="Arial" w:ascii="Arial Narrow" w:hAnsi="Arial Narrow"/>
          <w:sz w:val="22"/>
          <w:szCs w:val="22"/>
          <w:vertAlign w:val="superscript"/>
        </w:rPr>
        <w:t>2</w:t>
      </w:r>
      <w:r>
        <w:rPr>
          <w:rFonts w:cs="Arial" w:ascii="Arial Narrow" w:hAnsi="Arial Narrow"/>
          <w:sz w:val="22"/>
          <w:szCs w:val="22"/>
        </w:rPr>
        <w:t xml:space="preserve">, </w:t>
      </w:r>
    </w:p>
    <w:p>
      <w:pPr>
        <w:pStyle w:val="ListParagraph"/>
        <w:widowControl w:val="false"/>
        <w:numPr>
          <w:ilvl w:val="0"/>
          <w:numId w:val="1"/>
        </w:numPr>
        <w:spacing w:lineRule="auto" w:line="240" w:before="0" w:after="0"/>
        <w:contextualSpacing/>
        <w:jc w:val="both"/>
        <w:rPr>
          <w:sz w:val="22"/>
          <w:szCs w:val="22"/>
        </w:rPr>
      </w:pPr>
      <w:r>
        <w:rPr>
          <w:rFonts w:cs="Arial" w:ascii="Arial Narrow" w:hAnsi="Arial Narrow"/>
          <w:sz w:val="22"/>
          <w:szCs w:val="22"/>
        </w:rPr>
        <w:t xml:space="preserve">parc. č. 909/4 </w:t>
        <w:tab/>
        <w:t>o výměře    6 m</w:t>
      </w:r>
      <w:r>
        <w:rPr>
          <w:rFonts w:cs="Arial" w:ascii="Arial Narrow" w:hAnsi="Arial Narrow"/>
          <w:sz w:val="22"/>
          <w:szCs w:val="22"/>
          <w:vertAlign w:val="superscript"/>
        </w:rPr>
        <w:t>2</w:t>
      </w:r>
      <w:r>
        <w:rPr>
          <w:rFonts w:cs="Arial" w:ascii="Arial Narrow" w:hAnsi="Arial Narrow"/>
          <w:sz w:val="22"/>
          <w:szCs w:val="22"/>
        </w:rPr>
        <w:t>,</w:t>
      </w:r>
    </w:p>
    <w:p>
      <w:pPr>
        <w:pStyle w:val="ListParagraph"/>
        <w:widowControl w:val="false"/>
        <w:numPr>
          <w:ilvl w:val="0"/>
          <w:numId w:val="1"/>
        </w:numPr>
        <w:spacing w:lineRule="auto" w:line="240" w:before="0" w:after="0"/>
        <w:contextualSpacing/>
        <w:jc w:val="both"/>
        <w:rPr>
          <w:sz w:val="22"/>
          <w:szCs w:val="22"/>
        </w:rPr>
      </w:pPr>
      <w:r>
        <w:rPr>
          <w:rFonts w:cs="Arial" w:ascii="Arial Narrow" w:hAnsi="Arial Narrow"/>
          <w:sz w:val="22"/>
          <w:szCs w:val="22"/>
        </w:rPr>
        <w:t xml:space="preserve">parc. č. 1246/5 </w:t>
        <w:tab/>
        <w:t>o výměře  132 m</w:t>
      </w:r>
      <w:r>
        <w:rPr>
          <w:rFonts w:cs="Arial" w:ascii="Arial Narrow" w:hAnsi="Arial Narrow"/>
          <w:sz w:val="22"/>
          <w:szCs w:val="22"/>
          <w:vertAlign w:val="superscript"/>
        </w:rPr>
        <w:t>2</w:t>
      </w:r>
      <w:r>
        <w:rPr>
          <w:rFonts w:cs="Arial" w:ascii="Arial Narrow" w:hAnsi="Arial Narrow"/>
          <w:sz w:val="22"/>
          <w:szCs w:val="22"/>
        </w:rPr>
        <w:t>,</w:t>
      </w:r>
    </w:p>
    <w:p>
      <w:pPr>
        <w:pStyle w:val="Normal"/>
        <w:widowControl w:val="false"/>
        <w:spacing w:lineRule="auto" w:line="240" w:before="0" w:after="0"/>
        <w:jc w:val="both"/>
        <w:rPr>
          <w:rFonts w:ascii="Arial Narrow" w:hAnsi="Arial Narrow" w:cs="Arial"/>
          <w:sz w:val="22"/>
          <w:szCs w:val="22"/>
          <w:highlight w:val="yellow"/>
        </w:rPr>
      </w:pPr>
      <w:r>
        <w:rPr>
          <w:rFonts w:cs="Arial" w:ascii="Arial Narrow" w:hAnsi="Arial Narrow"/>
          <w:sz w:val="22"/>
          <w:szCs w:val="22"/>
          <w:highlight w:val="yellow"/>
        </w:rPr>
      </w:r>
    </w:p>
    <w:p>
      <w:pPr>
        <w:pStyle w:val="Normal"/>
        <w:widowControl w:val="false"/>
        <w:spacing w:lineRule="auto" w:line="240" w:before="0" w:after="0"/>
        <w:ind w:left="426" w:hanging="0"/>
        <w:jc w:val="both"/>
        <w:rPr>
          <w:sz w:val="22"/>
          <w:szCs w:val="22"/>
        </w:rPr>
      </w:pPr>
      <w:r>
        <w:rPr>
          <w:rFonts w:cs="Arial" w:ascii="Arial Narrow" w:hAnsi="Arial Narrow"/>
          <w:sz w:val="22"/>
          <w:szCs w:val="22"/>
        </w:rPr>
        <w:t>stal Vlastník, a společně s nově vzniklým pozemkem 908/22 o výměře 388 m</w:t>
      </w:r>
      <w:r>
        <w:rPr>
          <w:rFonts w:cs="Arial" w:ascii="Arial Narrow" w:hAnsi="Arial Narrow"/>
          <w:sz w:val="22"/>
          <w:szCs w:val="22"/>
          <w:vertAlign w:val="superscript"/>
        </w:rPr>
        <w:t>2</w:t>
      </w:r>
      <w:r>
        <w:rPr>
          <w:rFonts w:cs="Arial" w:ascii="Arial Narrow" w:hAnsi="Arial Narrow"/>
          <w:sz w:val="22"/>
          <w:szCs w:val="22"/>
        </w:rPr>
        <w:t xml:space="preserve"> ve výlučném vlastnictví Vlastníka je celý soubor uvedených pozemků v rámci geometrického plánu č. 2091-129/2020, vyhotoveném Ing. Michalem Novákem dne 23. 7. 2020 (Příloha 2), označen jako H7 o celkové výměře 655 m</w:t>
      </w:r>
      <w:r>
        <w:rPr>
          <w:rFonts w:cs="Arial" w:ascii="Arial Narrow" w:hAnsi="Arial Narrow"/>
          <w:sz w:val="22"/>
          <w:szCs w:val="22"/>
          <w:vertAlign w:val="superscript"/>
        </w:rPr>
        <w:t>2</w:t>
      </w:r>
      <w:r>
        <w:rPr>
          <w:rFonts w:cs="Arial" w:ascii="Arial Narrow" w:hAnsi="Arial Narrow"/>
          <w:sz w:val="22"/>
          <w:szCs w:val="22"/>
        </w:rPr>
        <w:t>. Vše se nachází v obci Praha, v katastrální území Klánovice. Toto vše (soubor pozemků H7) je dále jen „Předmět převodu“ nebo „Předmětné nemovitosti“.</w:t>
      </w:r>
    </w:p>
    <w:p>
      <w:pPr>
        <w:pStyle w:val="NormalWeb"/>
        <w:shd w:val="clear" w:color="auto" w:fill="FFFFFF"/>
        <w:spacing w:beforeAutospacing="0" w:before="280" w:afterAutospacing="0" w:after="0"/>
        <w:ind w:left="993" w:hanging="426"/>
        <w:jc w:val="both"/>
        <w:textAlignment w:val="baseline"/>
        <w:rPr/>
      </w:pPr>
      <w:r>
        <w:rPr>
          <w:rStyle w:val="Strong"/>
          <w:rFonts w:cs="Arial" w:ascii="Arial Narrow" w:hAnsi="Arial Narrow"/>
          <w:b w:val="false"/>
          <w:sz w:val="22"/>
          <w:szCs w:val="22"/>
        </w:rPr>
        <w:t xml:space="preserve"> </w:t>
      </w:r>
    </w:p>
    <w:p>
      <w:pPr>
        <w:pStyle w:val="NormalWeb"/>
        <w:shd w:val="clear" w:color="auto" w:fill="FFFFFF"/>
        <w:spacing w:beforeAutospacing="0" w:before="280" w:afterAutospacing="0" w:after="0"/>
        <w:ind w:left="567" w:hanging="567"/>
        <w:jc w:val="center"/>
        <w:textAlignment w:val="baseline"/>
        <w:rPr/>
      </w:pPr>
      <w:r>
        <w:rPr>
          <w:rStyle w:val="Strong"/>
          <w:rFonts w:cs="Arial" w:ascii="Arial Narrow" w:hAnsi="Arial Narrow"/>
          <w:sz w:val="22"/>
          <w:szCs w:val="22"/>
        </w:rPr>
        <w:t>2. Předmět smlouvy</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 xml:space="preserve">2.1 </w:t>
        <w:tab/>
        <w:t xml:space="preserve">Předmětem této smlouvy je zřízení předkupního práva k předmětným nemovitostem ve prospěch oprávněného. </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 xml:space="preserve">2.2 </w:t>
        <w:tab/>
        <w:t>Smluvní strany uzavřely dne 29. 6. 2020 Memorandum o porozumění a společném postupu, kde stanovily podmínky společného postupu, který se týká mimo jiné i směny pozemků.</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 xml:space="preserve">2.3 </w:t>
        <w:tab/>
        <w:t xml:space="preserve">V čl. V odst. 2 tohoto Memoranda bylo sjednáno, že vlastník poskytne oprávněnému předkupní právo na pozemek </w:t>
      </w:r>
      <w:r>
        <w:rPr>
          <w:rFonts w:ascii="Arial Narrow" w:hAnsi="Arial Narrow"/>
          <w:sz w:val="22"/>
          <w:szCs w:val="22"/>
        </w:rPr>
        <w:t>H7 po dobu 12 měsíců od data podpisu tohoto Memoranda za cenu v místě a čase obvyklou. Tato cena bude stanovena buď z ceny, za kterou Vlastník prodá některý z nově vzniklých pozemků v jeho vlastnictví dle reparcelace ve smyslu PŘÍLOHY 3 tohoto Memoranda, nebo z ceny stanovené soudním znalcem, na kterém se Vlastník a MČ shodnou, pokud Vlastník neuzavřel kupní smlouvu, smlouvu o smlouvě budoucí kupní nebo smlouvu obdobného významu a obsahu na jiný z pozemků ve smyslu PŘÍLOHY 3 (Memoranda) v jeho vlastnictví.</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 xml:space="preserve">2.4 </w:t>
        <w:tab/>
        <w:t xml:space="preserve">Vlastník a oprávněný si sjednávají předkupní právo ve prospěch oprávněného v délce trvání jednoho roku od podpisu této smlouvy. </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2.5</w:t>
        <w:tab/>
        <w:t xml:space="preserve">V případě uzavření smlouvy o smlouvě budoucí kupní a kupní smlouvy si strany sjednávají možnost, aby oprávněný v pozici kupujícího splatil část kupní ceny pozemkem či více pozemky ve svém vlastnictví, které by byly tržně oceněny soudním znalcem, nebo v případě dohody obou smluvních stran cenou smluvní.  </w:t>
      </w:r>
    </w:p>
    <w:p>
      <w:pPr>
        <w:pStyle w:val="NormalWeb"/>
        <w:shd w:val="clear" w:color="auto" w:fill="FFFFFF"/>
        <w:spacing w:beforeAutospacing="0" w:before="280" w:afterAutospacing="0" w:after="0"/>
        <w:ind w:left="567" w:hanging="567"/>
        <w:jc w:val="both"/>
        <w:textAlignment w:val="baseline"/>
        <w:rPr>
          <w:rFonts w:ascii="Arial Narrow" w:hAnsi="Arial Narrow" w:cs="Arial"/>
          <w:sz w:val="22"/>
          <w:szCs w:val="22"/>
        </w:rPr>
      </w:pPr>
      <w:r>
        <w:rPr>
          <w:rFonts w:cs="Arial" w:ascii="Arial Narrow" w:hAnsi="Arial Narrow"/>
          <w:sz w:val="22"/>
          <w:szCs w:val="22"/>
        </w:rPr>
      </w:r>
    </w:p>
    <w:p>
      <w:pPr>
        <w:pStyle w:val="Normal"/>
        <w:widowControl w:val="false"/>
        <w:spacing w:lineRule="auto" w:line="240" w:before="0" w:after="0"/>
        <w:jc w:val="center"/>
        <w:rPr/>
      </w:pPr>
      <w:r>
        <w:rPr>
          <w:rStyle w:val="Strong"/>
          <w:rFonts w:cs="Arial" w:ascii="Arial Narrow" w:hAnsi="Arial Narrow"/>
          <w:sz w:val="22"/>
          <w:szCs w:val="22"/>
        </w:rPr>
        <w:t>3.</w:t>
      </w:r>
      <w:r>
        <w:rPr>
          <w:rFonts w:cs="Arial" w:ascii="Arial Narrow" w:hAnsi="Arial Narrow"/>
          <w:b/>
          <w:bCs/>
          <w:sz w:val="22"/>
          <w:szCs w:val="22"/>
        </w:rPr>
        <w:t xml:space="preserve"> Cena převodu a platební podmínky </w:t>
      </w:r>
    </w:p>
    <w:p>
      <w:pPr>
        <w:pStyle w:val="ListParagraph"/>
        <w:widowControl w:val="false"/>
        <w:spacing w:lineRule="auto" w:line="240" w:before="0" w:after="0"/>
        <w:contextualSpacing/>
        <w:jc w:val="both"/>
        <w:rPr>
          <w:rFonts w:ascii="Arial Narrow" w:hAnsi="Arial Narrow" w:cs="Arial"/>
          <w:sz w:val="22"/>
          <w:szCs w:val="22"/>
        </w:rPr>
      </w:pPr>
      <w:r>
        <w:rPr>
          <w:rFonts w:cs="Arial" w:ascii="Arial Narrow" w:hAnsi="Arial Narrow"/>
          <w:sz w:val="22"/>
          <w:szCs w:val="22"/>
        </w:rPr>
      </w:r>
    </w:p>
    <w:p>
      <w:pPr>
        <w:pStyle w:val="ListParagraph"/>
        <w:widowControl w:val="false"/>
        <w:numPr>
          <w:ilvl w:val="1"/>
          <w:numId w:val="2"/>
        </w:numPr>
        <w:spacing w:lineRule="auto" w:line="240" w:before="0" w:after="0"/>
        <w:ind w:left="567" w:hanging="567"/>
        <w:contextualSpacing/>
        <w:jc w:val="both"/>
        <w:rPr>
          <w:sz w:val="22"/>
          <w:szCs w:val="22"/>
        </w:rPr>
      </w:pPr>
      <w:r>
        <w:rPr>
          <w:rFonts w:cs="Arial" w:ascii="Arial Narrow" w:hAnsi="Arial Narrow"/>
          <w:sz w:val="22"/>
          <w:szCs w:val="22"/>
        </w:rPr>
        <w:t xml:space="preserve">Smluvní strany se dohodly na stanovení ceny za předmět převodu ve výši určené primárně dohodou stran dle čl. 2 odst. 2.3. Pokud nedojde k dohodě o ceně, bude obvyklá tržní cena určena znalcem. Pokud nedojde k dohodě o určení osoby znalce, navrhne oprávněný deset znalců a povinný z nich jednoho vybere. Pokud se strany dohodnou, je možné namísto uzavření kupní smlouvy uzavřít směnou smlouvu za jiný pozemek ve vlastnictví obce, případně část kupní ceny řešit směnou pozemků a část uhrazením kupní ceny. </w:t>
      </w:r>
    </w:p>
    <w:p>
      <w:pPr>
        <w:pStyle w:val="Normal"/>
        <w:widowControl w:val="false"/>
        <w:spacing w:lineRule="auto" w:line="240" w:before="0" w:after="0"/>
        <w:jc w:val="both"/>
        <w:rPr>
          <w:sz w:val="22"/>
          <w:szCs w:val="22"/>
        </w:rPr>
      </w:pPr>
      <w:r>
        <w:rPr>
          <w:rFonts w:cs="Arial" w:ascii="Arial Narrow" w:hAnsi="Arial Narrow"/>
          <w:sz w:val="22"/>
          <w:szCs w:val="22"/>
        </w:rPr>
        <w:tab/>
      </w:r>
    </w:p>
    <w:p>
      <w:pPr>
        <w:pStyle w:val="ListParagraph"/>
        <w:widowControl w:val="false"/>
        <w:numPr>
          <w:ilvl w:val="1"/>
          <w:numId w:val="2"/>
        </w:numPr>
        <w:spacing w:lineRule="auto" w:line="240" w:before="0" w:after="0"/>
        <w:ind w:left="567" w:hanging="567"/>
        <w:contextualSpacing/>
        <w:jc w:val="both"/>
        <w:rPr>
          <w:sz w:val="22"/>
          <w:szCs w:val="22"/>
        </w:rPr>
      </w:pPr>
      <w:r>
        <w:rPr>
          <w:rFonts w:cs="Arial" w:ascii="Arial Narrow" w:hAnsi="Arial Narrow"/>
          <w:sz w:val="22"/>
          <w:szCs w:val="22"/>
        </w:rPr>
        <w:t xml:space="preserve">Kupní cenu nebo část kupní ceny vyjádřené v penězích  oprávněný uhradí prodávajícímu formou bezhotovostního převodu na účet číslo účtu </w:t>
      </w:r>
      <w:r>
        <w:rPr>
          <w:rFonts w:cs="Arial" w:ascii="Arial Narrow" w:hAnsi="Arial Narrow"/>
          <w:sz w:val="22"/>
          <w:szCs w:val="22"/>
          <w:highlight w:val="yellow"/>
        </w:rPr>
        <w:t>…………</w:t>
      </w:r>
      <w:r>
        <w:rPr>
          <w:rFonts w:cs="Arial" w:ascii="Arial Narrow" w:hAnsi="Arial Narrow"/>
          <w:sz w:val="22"/>
          <w:szCs w:val="22"/>
        </w:rPr>
        <w:t xml:space="preserve"> a to nejpozději do 5 dnů po vkladu všech vlastnických práv, týkajících se předmětu této smlouvy, tj. dle bodu 1 – odst. 6, a bodu 2 – odst. 2,5. </w:t>
      </w:r>
    </w:p>
    <w:p>
      <w:pPr>
        <w:pStyle w:val="ListParagraph"/>
        <w:widowControl w:val="false"/>
        <w:numPr>
          <w:ilvl w:val="1"/>
          <w:numId w:val="2"/>
        </w:numPr>
        <w:spacing w:lineRule="auto" w:line="240" w:before="0" w:after="0"/>
        <w:ind w:left="567" w:hanging="567"/>
        <w:contextualSpacing/>
        <w:jc w:val="both"/>
        <w:rPr>
          <w:sz w:val="22"/>
          <w:szCs w:val="22"/>
        </w:rPr>
      </w:pPr>
      <w:r>
        <w:rPr>
          <w:rFonts w:cs="Arial" w:ascii="Arial Narrow" w:hAnsi="Arial Narrow"/>
          <w:bCs/>
          <w:sz w:val="22"/>
          <w:szCs w:val="22"/>
        </w:rPr>
        <w:t xml:space="preserve">V případě neuhrazení dohodnuté kupní ceny do 30 dnů od provedení vkladu vlastnického práva se ruší kupní smlouvy od samého počátku. Smluvní strany jsou povinny podat návrh na zrušení smluv do katastru nemovitostí. </w:t>
      </w:r>
    </w:p>
    <w:p>
      <w:pPr>
        <w:pStyle w:val="Normal"/>
        <w:widowControl w:val="false"/>
        <w:spacing w:lineRule="auto" w:line="240" w:before="0" w:after="0"/>
        <w:ind w:firstLine="720"/>
        <w:jc w:val="both"/>
        <w:rPr>
          <w:rFonts w:ascii="Arial Narrow" w:hAnsi="Arial Narrow" w:cs="Arial"/>
          <w:sz w:val="22"/>
          <w:szCs w:val="22"/>
        </w:rPr>
      </w:pPr>
      <w:r>
        <w:rPr>
          <w:rFonts w:cs="Arial" w:ascii="Arial Narrow" w:hAnsi="Arial Narrow"/>
          <w:sz w:val="22"/>
          <w:szCs w:val="22"/>
        </w:rPr>
      </w:r>
    </w:p>
    <w:p>
      <w:pPr>
        <w:pStyle w:val="Normal"/>
        <w:widowControl w:val="false"/>
        <w:spacing w:lineRule="auto" w:line="240" w:before="0" w:after="0"/>
        <w:jc w:val="center"/>
        <w:rPr/>
      </w:pPr>
      <w:r>
        <w:rPr>
          <w:rStyle w:val="Strong"/>
          <w:rFonts w:cs="Arial" w:ascii="Arial Narrow" w:hAnsi="Arial Narrow"/>
          <w:sz w:val="22"/>
          <w:szCs w:val="22"/>
        </w:rPr>
        <w:t>4. Ostatní ujednání</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 xml:space="preserve">4.1 </w:t>
        <w:tab/>
        <w:t xml:space="preserve">Účastníci smlouvy berou na vědomí, že vlastnictví k nemovitým věcem, které oprávněný přijímá, nabývá až vkladem práv touto smlouvou nabytých do veřejného seznamu vedeného příslušným katastrem nemovitostí. Smluvní strany se dohodly, že návrh na vklad všech vlastnických práv, týkajících se předmětu této smlouvy, tj. dle bodu 1 – odst. 6, a bodu 2 - odst. 2.5. bude u příslušného katastrálního úřadu podán vlastníkem nejpozději do 3 dnů po výzvě oprávněného. </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 xml:space="preserve">4.2 </w:t>
        <w:tab/>
        <w:t xml:space="preserve">V případě, že katastrální úřad vyzve navrhovatele k odstranění nedostatků návrhu na vklad práva dle této smlouvy, zavazují se obě smluvní strany ve stanovené lhůtě katastrálním úřadem tyto nedostatky odstranit. V případě, že příslušný katastrální úřad návrh vkladu vlastnického práva zamítne nebo zastaví řízení, zavazují se obě smluvní strany neodkladně odstranit nedostatky, pro které byl návrh zamítnut nebo zastaveno řízení o povolení tohoto vkladu a podat nový návrh na povolení vkladu práva dle této smlouvy. </w:t>
      </w:r>
    </w:p>
    <w:p>
      <w:pPr>
        <w:pStyle w:val="Normal"/>
        <w:widowControl w:val="false"/>
        <w:spacing w:lineRule="auto" w:line="240" w:before="0" w:after="0"/>
        <w:ind w:firstLine="720"/>
        <w:jc w:val="both"/>
        <w:rPr>
          <w:rFonts w:ascii="Arial Narrow" w:hAnsi="Arial Narrow" w:cs="Arial"/>
          <w:sz w:val="22"/>
          <w:szCs w:val="22"/>
        </w:rPr>
      </w:pPr>
      <w:r>
        <w:rPr>
          <w:rFonts w:cs="Arial" w:ascii="Arial Narrow" w:hAnsi="Arial Narrow"/>
          <w:sz w:val="22"/>
          <w:szCs w:val="22"/>
        </w:rPr>
      </w:r>
    </w:p>
    <w:p>
      <w:pPr>
        <w:pStyle w:val="NormalWeb"/>
        <w:numPr>
          <w:ilvl w:val="0"/>
          <w:numId w:val="0"/>
        </w:numPr>
        <w:shd w:val="clear" w:color="auto" w:fill="FFFFFF"/>
        <w:spacing w:beforeAutospacing="0" w:before="280" w:afterAutospacing="0" w:after="0"/>
        <w:ind w:left="360" w:hanging="0"/>
        <w:jc w:val="center"/>
        <w:textAlignment w:val="baseline"/>
        <w:rPr/>
      </w:pPr>
      <w:r>
        <w:rPr>
          <w:rStyle w:val="Strong"/>
          <w:rFonts w:cs="Arial" w:ascii="Arial Narrow" w:hAnsi="Arial Narrow"/>
          <w:sz w:val="22"/>
          <w:szCs w:val="22"/>
        </w:rPr>
        <w:t xml:space="preserve">5. Závěrečná ustanovení    </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 xml:space="preserve">.1 </w:t>
        <w:tab/>
        <w:t>Tato Smlouva vstupuje v platnost a nabývá účinnosti dnem podpisu oběma smluvními stranami. Bude podepsána současně s podpisem Směnné smlouvy, tak jak je uvedeno v bodě 1, odst. 6.</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 xml:space="preserve">.2 </w:t>
        <w:tab/>
        <w:t>Tato Smlouva může být měněna a doplňována pouze formou písemných dodatků podepsaných oběma smluvními stranami.</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 xml:space="preserve">.3 </w:t>
        <w:tab/>
        <w:t>Tato Smlouva se řídí právním řádem České republiky.</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 xml:space="preserve">.4 </w:t>
        <w:tab/>
        <w:t>Tato Smlouva je sepsána v dvou vyhotoveních, každé s platností originálu, z nichž každá strana obdrží po jednom vyhotovení.</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.5</w:t>
        <w:tab/>
        <w:t>Pokud oddělitelné ustanovení této Smlouvy je nebo se stane neplatným či nevynutitelným, nemá to vliv na platnost zbývajících ustanovení této Smlouvy. V takovém případě se strany této Smlouvy zavazují uzavřít do 5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 xml:space="preserve">.6 </w:t>
        <w:tab/>
        <w:t>Smluvní strany po přečtení této Smlouvy prohlašují, že souhlasí s jejím obsahem, že tato Smlouva byla sepsána vážně, určitě, srozumitelně a na základě jejich pravé a svobodné vůle, na důkaz čehož připojují své podpisy.</w:t>
      </w:r>
    </w:p>
    <w:p>
      <w:pPr>
        <w:pStyle w:val="NormalWeb"/>
        <w:shd w:val="clear" w:color="auto" w:fill="FFFFFF"/>
        <w:spacing w:beforeAutospacing="0" w:before="280" w:afterAutospacing="0" w:after="0"/>
        <w:ind w:left="567" w:hanging="567"/>
        <w:jc w:val="both"/>
        <w:textAlignment w:val="baseline"/>
        <w:rPr>
          <w:sz w:val="22"/>
          <w:szCs w:val="22"/>
        </w:rPr>
      </w:pPr>
      <w:r>
        <w:rPr>
          <w:rFonts w:cs="Arial" w:ascii="Arial Narrow" w:hAnsi="Arial Narrow"/>
          <w:sz w:val="22"/>
          <w:szCs w:val="22"/>
        </w:rPr>
        <w:t>5</w:t>
      </w:r>
      <w:r>
        <w:rPr>
          <w:rFonts w:cs="Arial" w:ascii="Arial Narrow" w:hAnsi="Arial Narrow"/>
          <w:sz w:val="22"/>
          <w:szCs w:val="22"/>
        </w:rPr>
        <w:t>.7</w:t>
        <w:tab/>
        <w:t>Tato Smlouva byl schválena zastupitelstvem MČ dne …… 2021 usnesením č. …./2021.</w:t>
      </w:r>
    </w:p>
    <w:p>
      <w:pPr>
        <w:pStyle w:val="NormalWeb"/>
        <w:shd w:val="clear" w:color="auto" w:fill="FFFFFF"/>
        <w:spacing w:beforeAutospacing="0" w:before="280" w:afterAutospacing="0" w:after="0"/>
        <w:ind w:hanging="0"/>
        <w:textAlignment w:val="baseline"/>
        <w:rPr>
          <w:sz w:val="22"/>
          <w:szCs w:val="22"/>
        </w:rPr>
      </w:pPr>
      <w:r>
        <w:rPr>
          <w:rFonts w:cs="Arial" w:ascii="Arial Narrow" w:hAnsi="Arial Narrow"/>
          <w:sz w:val="22"/>
          <w:szCs w:val="22"/>
        </w:rPr>
        <w:t>V Praze dne …………………</w:t>
      </w:r>
    </w:p>
    <w:p>
      <w:pPr>
        <w:pStyle w:val="NormalWeb"/>
        <w:shd w:val="clear" w:color="auto" w:fill="FFFFFF"/>
        <w:spacing w:beforeAutospacing="0" w:before="280" w:afterAutospacing="0" w:after="0"/>
        <w:textAlignment w:val="baseline"/>
        <w:rPr>
          <w:rFonts w:ascii="Arial Narrow" w:hAnsi="Arial Narrow" w:cs="Arial"/>
          <w:b/>
          <w:b/>
          <w:bCs/>
          <w:sz w:val="22"/>
          <w:szCs w:val="22"/>
        </w:rPr>
      </w:pPr>
      <w:r>
        <w:rPr>
          <w:rFonts w:cs="Arial" w:ascii="Arial Narrow" w:hAnsi="Arial Narrow"/>
          <w:b/>
          <w:bCs/>
          <w:sz w:val="22"/>
          <w:szCs w:val="22"/>
        </w:rPr>
      </w:r>
    </w:p>
    <w:p>
      <w:pPr>
        <w:pStyle w:val="NormalWeb"/>
        <w:shd w:val="clear" w:color="auto" w:fill="FFFFFF"/>
        <w:spacing w:beforeAutospacing="0" w:before="280" w:afterAutospacing="0" w:after="0"/>
        <w:textAlignment w:val="baseline"/>
        <w:rPr>
          <w:sz w:val="22"/>
          <w:szCs w:val="22"/>
        </w:rPr>
      </w:pPr>
      <w:r>
        <w:rPr>
          <w:rFonts w:cs="Arial" w:ascii="Arial Narrow" w:hAnsi="Arial Narrow"/>
          <w:b/>
          <w:bCs/>
          <w:sz w:val="22"/>
          <w:szCs w:val="22"/>
        </w:rPr>
        <w:t xml:space="preserve"> </w:t>
      </w:r>
      <w:r>
        <w:rPr>
          <w:rFonts w:cs="Arial" w:ascii="Arial Narrow" w:hAnsi="Arial Narrow"/>
          <w:b/>
          <w:bCs/>
          <w:sz w:val="22"/>
          <w:szCs w:val="22"/>
        </w:rPr>
        <w:tab/>
        <w:tab/>
      </w:r>
    </w:p>
    <w:p>
      <w:pPr>
        <w:pStyle w:val="NormalWeb"/>
        <w:shd w:val="clear" w:color="auto" w:fill="FFFFFF"/>
        <w:spacing w:beforeAutospacing="0" w:before="280" w:afterAutospacing="0" w:after="0"/>
        <w:textAlignment w:val="baseline"/>
        <w:rPr>
          <w:sz w:val="22"/>
          <w:szCs w:val="22"/>
        </w:rPr>
      </w:pPr>
      <w:r>
        <w:rPr>
          <w:rFonts w:cs="Arial" w:ascii="Arial Narrow" w:hAnsi="Arial Narrow"/>
          <w:b/>
          <w:bCs/>
          <w:sz w:val="22"/>
          <w:szCs w:val="22"/>
        </w:rPr>
        <w:tab/>
        <w:tab/>
      </w:r>
    </w:p>
    <w:p>
      <w:pPr>
        <w:pStyle w:val="NormalWeb"/>
        <w:shd w:val="clear" w:color="auto" w:fill="FFFFFF"/>
        <w:spacing w:beforeAutospacing="0" w:before="0" w:afterAutospacing="0" w:after="0"/>
        <w:textAlignment w:val="baseline"/>
        <w:rPr/>
      </w:pPr>
      <w:r>
        <w:rPr>
          <w:rFonts w:cs="Arial" w:ascii="Arial Narrow" w:hAnsi="Arial Narrow"/>
          <w:b/>
          <w:bCs/>
          <w:sz w:val="22"/>
          <w:szCs w:val="22"/>
        </w:rPr>
        <w:tab/>
        <w:t>Alois Hejtich</w:t>
        <w:tab/>
        <w:tab/>
        <w:tab/>
        <w:tab/>
        <w:tab/>
      </w:r>
      <w:r>
        <w:rPr>
          <w:rStyle w:val="Preformatted"/>
          <w:rFonts w:cs="Calibri" w:ascii="Arial Narrow" w:hAnsi="Arial Narrow"/>
          <w:b/>
          <w:bCs/>
          <w:sz w:val="22"/>
          <w:szCs w:val="22"/>
        </w:rPr>
        <w:t>Městská část Praha-Klánovice</w:t>
      </w:r>
    </w:p>
    <w:p>
      <w:pPr>
        <w:pStyle w:val="NormalWeb"/>
        <w:shd w:val="clear" w:color="auto" w:fill="FFFFFF"/>
        <w:spacing w:beforeAutospacing="0" w:before="0" w:afterAutospacing="0" w:after="0"/>
        <w:textAlignment w:val="baseline"/>
        <w:rPr/>
      </w:pPr>
      <w:r>
        <w:rPr>
          <w:rStyle w:val="Preformatted"/>
          <w:rFonts w:cs="Calibri" w:ascii="Arial Narrow" w:hAnsi="Arial Narrow"/>
          <w:bCs/>
          <w:sz w:val="22"/>
          <w:szCs w:val="22"/>
        </w:rPr>
        <w:tab/>
        <w:t xml:space="preserve">    Vlastník</w:t>
        <w:tab/>
        <w:tab/>
      </w:r>
      <w:r>
        <w:rPr>
          <w:rStyle w:val="Preformatted"/>
          <w:rFonts w:cs="Calibri" w:ascii="Arial Narrow" w:hAnsi="Arial Narrow"/>
          <w:b/>
          <w:bCs/>
          <w:sz w:val="22"/>
          <w:szCs w:val="22"/>
        </w:rPr>
        <w:tab/>
        <w:tab/>
        <w:tab/>
        <w:tab/>
        <w:t xml:space="preserve">   </w:t>
      </w:r>
      <w:r>
        <w:rPr>
          <w:rStyle w:val="Preformatted"/>
          <w:rFonts w:cs="Calibri" w:ascii="Arial Narrow" w:hAnsi="Arial Narrow"/>
          <w:bCs/>
          <w:sz w:val="22"/>
          <w:szCs w:val="22"/>
        </w:rPr>
        <w:t>Oprávněný</w:t>
      </w:r>
    </w:p>
    <w:sectPr>
      <w:type w:val="nextPage"/>
      <w:pgSz w:w="11906" w:h="16838"/>
      <w:pgMar w:left="1417" w:right="1417" w:header="0" w:top="1134" w:footer="0" w:bottom="1701"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 w:name="Arial Narrow">
    <w:charset w:val="01"/>
    <w:family w:val="roman"/>
    <w:pitch w:val="variable"/>
  </w:font>
  <w:font w:name="Arial Narrow">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Arial Narrow" w:hAnsi="Arial Narrow" w:cs="Arial Narro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3"/>
      <w:numFmt w:val="decimal"/>
      <w:lvlText w:val="%1."/>
      <w:lvlJc w:val="left"/>
      <w:pPr>
        <w:tabs>
          <w:tab w:val="num" w:pos="0"/>
        </w:tabs>
        <w:ind w:left="360" w:hanging="360"/>
      </w:pPr>
      <w:rPr>
        <w:color w:val="auto"/>
      </w:rPr>
    </w:lvl>
    <w:lvl w:ilvl="1">
      <w:start w:val="1"/>
      <w:numFmt w:val="decimal"/>
      <w:lvlText w:val="%1.%2."/>
      <w:lvlJc w:val="left"/>
      <w:pPr>
        <w:tabs>
          <w:tab w:val="num" w:pos="0"/>
        </w:tabs>
        <w:ind w:left="1080" w:hanging="360"/>
      </w:pPr>
      <w:rPr>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2880" w:hanging="72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4680" w:hanging="1080"/>
      </w:pPr>
      <w:rPr>
        <w:color w:val="auto"/>
      </w:rPr>
    </w:lvl>
    <w:lvl w:ilvl="6">
      <w:start w:val="1"/>
      <w:numFmt w:val="decimal"/>
      <w:lvlText w:val="%1.%2.%3.%4.%5.%6.%7."/>
      <w:lvlJc w:val="left"/>
      <w:pPr>
        <w:tabs>
          <w:tab w:val="num" w:pos="0"/>
        </w:tabs>
        <w:ind w:left="5400" w:hanging="1080"/>
      </w:pPr>
      <w:rPr>
        <w:color w:val="auto"/>
      </w:rPr>
    </w:lvl>
    <w:lvl w:ilvl="7">
      <w:start w:val="1"/>
      <w:numFmt w:val="decimal"/>
      <w:lvlText w:val="%1.%2.%3.%4.%5.%6.%7.%8."/>
      <w:lvlJc w:val="left"/>
      <w:pPr>
        <w:tabs>
          <w:tab w:val="num" w:pos="0"/>
        </w:tabs>
        <w:ind w:left="6480" w:hanging="1440"/>
      </w:pPr>
      <w:rPr>
        <w:color w:val="auto"/>
      </w:rPr>
    </w:lvl>
    <w:lvl w:ilvl="8">
      <w:start w:val="1"/>
      <w:numFmt w:val="decimal"/>
      <w:lvlText w:val="%1.%2.%3.%4.%5.%6.%7.%8.%9."/>
      <w:lvlJc w:val="left"/>
      <w:pPr>
        <w:tabs>
          <w:tab w:val="num" w:pos="0"/>
        </w:tabs>
        <w:ind w:left="7200" w:hanging="1440"/>
      </w:pPr>
      <w:rPr>
        <w:color w:val="auto"/>
      </w:rPr>
    </w:lvl>
  </w:abstractNum>
  <w:abstractNum w:abstractNumId="3">
    <w:lvl w:ilvl="0">
      <w:start w:val="1"/>
      <w:numFmt w:val="decimal"/>
      <w:lvlText w:val="%1."/>
      <w:lvlJc w:val="left"/>
      <w:pPr>
        <w:tabs>
          <w:tab w:val="num" w:pos="0"/>
        </w:tabs>
        <w:ind w:left="720" w:hanging="360"/>
      </w:pPr>
      <w:rPr>
        <w:sz w:val="24"/>
        <w:szCs w:val="24"/>
        <w:rFonts w:ascii="Arial Narrow" w:hAnsi="Arial Narrow"/>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24f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a29e8"/>
    <w:rPr>
      <w:b/>
      <w:bCs/>
    </w:rPr>
  </w:style>
  <w:style w:type="character" w:styleId="Appleconvertedspace" w:customStyle="1">
    <w:name w:val="apple-converted-space"/>
    <w:basedOn w:val="DefaultParagraphFont"/>
    <w:qFormat/>
    <w:rsid w:val="004a29e8"/>
    <w:rPr/>
  </w:style>
  <w:style w:type="character" w:styleId="Nadpis1Char" w:customStyle="1">
    <w:name w:val="Nadpis 1 Char"/>
    <w:basedOn w:val="DefaultParagraphFont"/>
    <w:link w:val="Heading11"/>
    <w:qFormat/>
    <w:rsid w:val="0077385c"/>
    <w:rPr>
      <w:rFonts w:ascii="Times New Roman" w:hAnsi="Times New Roman" w:eastAsia="SimSun" w:cs="Times New Roman"/>
      <w:caps/>
      <w:szCs w:val="32"/>
    </w:rPr>
  </w:style>
  <w:style w:type="character" w:styleId="ZkladntextChar" w:customStyle="1">
    <w:name w:val="Základní text Char"/>
    <w:basedOn w:val="DefaultParagraphFont"/>
    <w:link w:val="Zkladntext"/>
    <w:semiHidden/>
    <w:qFormat/>
    <w:rsid w:val="0077385c"/>
    <w:rPr>
      <w:rFonts w:ascii="Times New Roman" w:hAnsi="Times New Roman" w:eastAsia="Times New Roman" w:cs="Times New Roman"/>
      <w:sz w:val="24"/>
      <w:szCs w:val="20"/>
      <w:lang w:eastAsia="cs-CZ"/>
    </w:rPr>
  </w:style>
  <w:style w:type="character" w:styleId="Nadpis2Char" w:customStyle="1">
    <w:name w:val="Nadpis 2 Char"/>
    <w:basedOn w:val="DefaultParagraphFont"/>
    <w:link w:val="Heading21"/>
    <w:uiPriority w:val="9"/>
    <w:semiHidden/>
    <w:qFormat/>
    <w:rsid w:val="0077385c"/>
    <w:rPr>
      <w:rFonts w:ascii="Cambria" w:hAnsi="Cambria" w:eastAsia="" w:cs="" w:asciiTheme="majorHAnsi" w:cstheme="majorBidi" w:eastAsiaTheme="majorEastAsia" w:hAnsiTheme="majorHAnsi"/>
      <w:b/>
      <w:bCs/>
      <w:color w:val="4F81BD" w:themeColor="accent1"/>
      <w:sz w:val="26"/>
      <w:szCs w:val="26"/>
    </w:rPr>
  </w:style>
  <w:style w:type="character" w:styleId="Silnzdraznn" w:customStyle="1">
    <w:name w:val="Silné zdůraznění"/>
    <w:qFormat/>
    <w:rsid w:val="002375de"/>
    <w:rPr>
      <w:b/>
      <w:bCs/>
    </w:rPr>
  </w:style>
  <w:style w:type="character" w:styleId="Preformatted" w:customStyle="1">
    <w:name w:val="preformatted"/>
    <w:basedOn w:val="DefaultParagraphFont"/>
    <w:qFormat/>
    <w:rsid w:val="00bd1481"/>
    <w:rPr/>
  </w:style>
  <w:style w:type="character" w:styleId="Standardnpsmoodstavce1" w:customStyle="1">
    <w:name w:val="Standardní písmo odstavce1"/>
    <w:qFormat/>
    <w:rsid w:val="0083015c"/>
    <w:rPr/>
  </w:style>
  <w:style w:type="character" w:styleId="Nowrap" w:customStyle="1">
    <w:name w:val="nowrap"/>
    <w:basedOn w:val="Standardnpsmoodstavce1"/>
    <w:qFormat/>
    <w:rsid w:val="0083015c"/>
    <w:rPr/>
  </w:style>
  <w:style w:type="character" w:styleId="TextbublinyChar" w:customStyle="1">
    <w:name w:val="Text bubliny Char"/>
    <w:basedOn w:val="DefaultParagraphFont"/>
    <w:link w:val="Textbubliny"/>
    <w:uiPriority w:val="99"/>
    <w:semiHidden/>
    <w:qFormat/>
    <w:rsid w:val="00ba6cf5"/>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ZkladntextChar"/>
    <w:semiHidden/>
    <w:unhideWhenUsed/>
    <w:rsid w:val="0077385c"/>
    <w:pPr>
      <w:spacing w:lineRule="auto" w:line="240" w:before="0" w:after="0"/>
      <w:jc w:val="both"/>
    </w:pPr>
    <w:rPr>
      <w:rFonts w:ascii="Times New Roman" w:hAnsi="Times New Roman" w:eastAsia="Times New Roman" w:cs="Times New Roman"/>
      <w:sz w:val="24"/>
      <w:szCs w:val="20"/>
      <w:lang w:eastAsia="cs-CZ"/>
    </w:rPr>
  </w:style>
  <w:style w:type="paragraph" w:styleId="List">
    <w:name w:val="List"/>
    <w:basedOn w:val="TextBody"/>
    <w:rsid w:val="002375de"/>
    <w:pPr/>
    <w:rPr>
      <w:rFonts w:cs="Mangal"/>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adpis" w:customStyle="1">
    <w:name w:val="Nadpis"/>
    <w:basedOn w:val="Normal"/>
    <w:next w:val="TextBody"/>
    <w:qFormat/>
    <w:rsid w:val="002375de"/>
    <w:pPr>
      <w:keepNext w:val="true"/>
      <w:spacing w:before="240" w:after="120"/>
    </w:pPr>
    <w:rPr>
      <w:rFonts w:ascii="Liberation Sans" w:hAnsi="Liberation Sans" w:eastAsia="Microsoft YaHei" w:cs="Mangal"/>
      <w:sz w:val="28"/>
      <w:szCs w:val="28"/>
    </w:rPr>
  </w:style>
  <w:style w:type="paragraph" w:styleId="Caption1">
    <w:name w:val="caption"/>
    <w:basedOn w:val="Normal"/>
    <w:qFormat/>
    <w:rsid w:val="002375de"/>
    <w:pPr>
      <w:suppressLineNumbers/>
      <w:spacing w:before="120" w:after="120"/>
    </w:pPr>
    <w:rPr>
      <w:rFonts w:cs="Mangal"/>
      <w:i/>
      <w:iCs/>
      <w:sz w:val="24"/>
      <w:szCs w:val="24"/>
    </w:rPr>
  </w:style>
  <w:style w:type="paragraph" w:styleId="Rejstk" w:customStyle="1">
    <w:name w:val="Rejstřík"/>
    <w:basedOn w:val="Normal"/>
    <w:qFormat/>
    <w:rsid w:val="002375de"/>
    <w:pPr>
      <w:suppressLineNumbers/>
    </w:pPr>
    <w:rPr>
      <w:rFonts w:cs="Mangal"/>
    </w:rPr>
  </w:style>
  <w:style w:type="paragraph" w:styleId="Heading11" w:customStyle="1">
    <w:name w:val="Heading 11"/>
    <w:basedOn w:val="Normal"/>
    <w:link w:val="Nadpis1Char"/>
    <w:qFormat/>
    <w:rsid w:val="0077385c"/>
    <w:pPr>
      <w:keepNext w:val="true"/>
      <w:spacing w:lineRule="auto" w:line="240" w:before="240" w:after="0"/>
      <w:jc w:val="both"/>
      <w:outlineLvl w:val="0"/>
    </w:pPr>
    <w:rPr>
      <w:rFonts w:ascii="Times New Roman" w:hAnsi="Times New Roman" w:eastAsia="SimSun" w:cs="Times New Roman"/>
      <w:caps/>
      <w:szCs w:val="32"/>
    </w:rPr>
  </w:style>
  <w:style w:type="paragraph" w:styleId="Heading21" w:customStyle="1">
    <w:name w:val="Heading 21"/>
    <w:basedOn w:val="Normal"/>
    <w:link w:val="Nadpis2Char"/>
    <w:uiPriority w:val="9"/>
    <w:semiHidden/>
    <w:unhideWhenUsed/>
    <w:qFormat/>
    <w:rsid w:val="0077385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Caption11" w:customStyle="1">
    <w:name w:val="Caption1"/>
    <w:basedOn w:val="Normal"/>
    <w:qFormat/>
    <w:rsid w:val="0083015c"/>
    <w:pPr>
      <w:suppressLineNumbers/>
      <w:spacing w:before="120" w:after="120"/>
    </w:pPr>
    <w:rPr>
      <w:rFonts w:cs="Arial"/>
      <w:i/>
      <w:iCs/>
      <w:sz w:val="24"/>
      <w:szCs w:val="24"/>
    </w:rPr>
  </w:style>
  <w:style w:type="paragraph" w:styleId="NormalWeb">
    <w:name w:val="Normal (Web)"/>
    <w:basedOn w:val="Normal"/>
    <w:uiPriority w:val="99"/>
    <w:unhideWhenUsed/>
    <w:qFormat/>
    <w:rsid w:val="004a29e8"/>
    <w:pPr>
      <w:spacing w:lineRule="auto" w:line="240" w:beforeAutospacing="1" w:afterAutospacing="1"/>
    </w:pPr>
    <w:rPr>
      <w:rFonts w:ascii="Times New Roman" w:hAnsi="Times New Roman" w:eastAsia="Times New Roman" w:cs="Times New Roman"/>
      <w:sz w:val="24"/>
      <w:szCs w:val="24"/>
      <w:lang w:eastAsia="cs-CZ"/>
    </w:rPr>
  </w:style>
  <w:style w:type="paragraph" w:styleId="Clanek11" w:customStyle="1">
    <w:name w:val="Clanek 1.1"/>
    <w:basedOn w:val="Heading21"/>
    <w:qFormat/>
    <w:rsid w:val="0077385c"/>
    <w:pPr>
      <w:keepLines w:val="false"/>
      <w:widowControl w:val="false"/>
      <w:tabs>
        <w:tab w:val="clear" w:pos="708"/>
        <w:tab w:val="left" w:pos="1050" w:leader="none"/>
        <w:tab w:val="left" w:pos="1785" w:leader="none"/>
      </w:tabs>
      <w:spacing w:lineRule="auto" w:line="240" w:before="120" w:after="120"/>
      <w:ind w:left="1050" w:hanging="690"/>
      <w:jc w:val="both"/>
    </w:pPr>
    <w:rPr>
      <w:rFonts w:ascii="Times New Roman" w:hAnsi="Times New Roman" w:eastAsia="SimSun" w:cs="Arial"/>
      <w:b w:val="false"/>
      <w:iCs/>
      <w:color w:val="00000A"/>
      <w:sz w:val="22"/>
      <w:szCs w:val="28"/>
    </w:rPr>
  </w:style>
  <w:style w:type="paragraph" w:styleId="Zkladntextcislovany" w:customStyle="1">
    <w:name w:val="Základní text cislovany"/>
    <w:basedOn w:val="TextBody"/>
    <w:qFormat/>
    <w:rsid w:val="0077385c"/>
    <w:pPr>
      <w:tabs>
        <w:tab w:val="clear" w:pos="708"/>
        <w:tab w:val="left" w:pos="720" w:leader="none"/>
      </w:tabs>
      <w:ind w:left="720" w:hanging="720"/>
    </w:pPr>
    <w:rPr>
      <w:rFonts w:ascii="Tahoma" w:hAnsi="Tahoma"/>
      <w:color w:val="000000"/>
      <w:sz w:val="22"/>
    </w:rPr>
  </w:style>
  <w:style w:type="paragraph" w:styleId="Claneka" w:customStyle="1">
    <w:name w:val="Clanek (a)"/>
    <w:basedOn w:val="Normal"/>
    <w:qFormat/>
    <w:rsid w:val="0077385c"/>
    <w:pPr>
      <w:keepLines/>
      <w:widowControl w:val="false"/>
      <w:tabs>
        <w:tab w:val="clear" w:pos="708"/>
        <w:tab w:val="left" w:pos="2340" w:leader="none"/>
      </w:tabs>
      <w:spacing w:lineRule="auto" w:line="240" w:before="120" w:after="120"/>
      <w:ind w:left="2340" w:hanging="180"/>
      <w:jc w:val="both"/>
    </w:pPr>
    <w:rPr>
      <w:rFonts w:ascii="Times New Roman" w:hAnsi="Times New Roman" w:eastAsia="SimSun" w:cs="Times New Roman"/>
      <w:szCs w:val="24"/>
    </w:rPr>
  </w:style>
  <w:style w:type="paragraph" w:styleId="Claneki" w:customStyle="1">
    <w:name w:val="Clanek (i)"/>
    <w:basedOn w:val="Normal"/>
    <w:qFormat/>
    <w:rsid w:val="0077385c"/>
    <w:pPr>
      <w:keepNext w:val="true"/>
      <w:tabs>
        <w:tab w:val="clear" w:pos="708"/>
        <w:tab w:val="left" w:pos="3060" w:leader="none"/>
      </w:tabs>
      <w:spacing w:lineRule="auto" w:line="240" w:before="120" w:after="120"/>
      <w:ind w:left="3060" w:hanging="360"/>
      <w:jc w:val="both"/>
    </w:pPr>
    <w:rPr>
      <w:rFonts w:ascii="Times New Roman" w:hAnsi="Times New Roman" w:eastAsia="SimSun" w:cs="Times New Roman"/>
      <w:color w:val="000000"/>
      <w:szCs w:val="24"/>
    </w:rPr>
  </w:style>
  <w:style w:type="paragraph" w:styleId="Standard" w:customStyle="1">
    <w:name w:val="Standard"/>
    <w:qFormat/>
    <w:rsid w:val="00bd1481"/>
    <w:pPr>
      <w:widowControl/>
      <w:suppressAutoHyphens w:val="true"/>
      <w:bidi w:val="0"/>
      <w:spacing w:before="0" w:after="0"/>
      <w:jc w:val="both"/>
      <w:textAlignment w:val="baseline"/>
    </w:pPr>
    <w:rPr>
      <w:rFonts w:ascii="Times New Roman" w:hAnsi="Times New Roman" w:eastAsia="Times New Roman" w:cs="Times New Roman"/>
      <w:color w:val="auto"/>
      <w:kern w:val="2"/>
      <w:sz w:val="24"/>
      <w:szCs w:val="24"/>
      <w:lang w:val="cs-CZ" w:eastAsia="cs-CZ" w:bidi="ar-SA"/>
    </w:rPr>
  </w:style>
  <w:style w:type="paragraph" w:styleId="NoSpacing">
    <w:name w:val="No Spacing"/>
    <w:uiPriority w:val="1"/>
    <w:qFormat/>
    <w:rsid w:val="005b5f04"/>
    <w:pPr>
      <w:widowControl/>
      <w:suppressAutoHyphens w:val="true"/>
      <w:bidi w:val="0"/>
      <w:spacing w:before="0" w:after="0"/>
      <w:jc w:val="left"/>
    </w:pPr>
    <w:rPr>
      <w:rFonts w:ascii="Calibri" w:hAnsi="Calibri" w:eastAsia="" w:cs="Times New Roman" w:eastAsiaTheme="minorEastAsia"/>
      <w:color w:val="auto"/>
      <w:kern w:val="0"/>
      <w:sz w:val="22"/>
      <w:szCs w:val="22"/>
      <w:lang w:val="cs-CZ" w:eastAsia="zh-CN" w:bidi="ar-SA"/>
    </w:rPr>
  </w:style>
  <w:style w:type="paragraph" w:styleId="ListParagraph">
    <w:name w:val="List Paragraph"/>
    <w:basedOn w:val="Normal"/>
    <w:uiPriority w:val="34"/>
    <w:qFormat/>
    <w:rsid w:val="001c189e"/>
    <w:pPr>
      <w:spacing w:before="0" w:after="200"/>
      <w:ind w:left="720" w:hanging="0"/>
      <w:contextualSpacing/>
    </w:pPr>
    <w:rPr>
      <w:rFonts w:eastAsia="" w:cs="Times New Roman" w:eastAsiaTheme="minorEastAsia"/>
      <w:lang w:eastAsia="zh-CN"/>
    </w:rPr>
  </w:style>
  <w:style w:type="paragraph" w:styleId="BalloonText">
    <w:name w:val="Balloon Text"/>
    <w:basedOn w:val="Normal"/>
    <w:link w:val="TextbublinyChar"/>
    <w:uiPriority w:val="99"/>
    <w:semiHidden/>
    <w:unhideWhenUsed/>
    <w:qFormat/>
    <w:rsid w:val="00ba6cf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E912F-2D16-4DC4-83F9-B76264C6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LibreOffice/7.1.0.3$MacOSX_X86_64 LibreOffice_project/f6099ecf3d29644b5008cc8f48f42f4a40986e4c</Application>
  <AppVersion>15.0000</AppVersion>
  <Pages>3</Pages>
  <Words>1141</Words>
  <Characters>6174</Characters>
  <CharactersWithSpaces>7330</CharactersWithSpaces>
  <Paragraphs>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2021-03-02T16:21:00Z</dcterms:created>
  <dc:creator>office</dc:creator>
  <dc:description/>
  <dc:language>cs-CZ</dc:language>
  <cp:lastModifiedBy/>
  <cp:lastPrinted>2021-03-02T13:28:00Z</cp:lastPrinted>
  <dcterms:modified xsi:type="dcterms:W3CDTF">2021-06-08T19:07:21Z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